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1F96" w:rsidRDefault="003A66E5">
      <w:pPr>
        <w:pStyle w:val="CRCoverPage"/>
        <w:tabs>
          <w:tab w:val="right" w:pos="9639"/>
        </w:tabs>
        <w:spacing w:after="0"/>
        <w:rPr>
          <w:b/>
          <w:i/>
          <w:sz w:val="28"/>
        </w:rPr>
      </w:pPr>
      <w:r>
        <w:rPr>
          <w:b/>
          <w:sz w:val="24"/>
        </w:rPr>
        <w:t>3GPP TSG-SA5 Meeting #150</w:t>
      </w:r>
      <w:r>
        <w:rPr>
          <w:b/>
          <w:i/>
          <w:sz w:val="24"/>
        </w:rPr>
        <w:t xml:space="preserve"> </w:t>
      </w:r>
      <w:r>
        <w:rPr>
          <w:b/>
          <w:i/>
          <w:sz w:val="28"/>
        </w:rPr>
        <w:tab/>
        <w:t>S5-23</w:t>
      </w:r>
      <w:r w:rsidR="00377729">
        <w:rPr>
          <w:b/>
          <w:i/>
          <w:sz w:val="28"/>
        </w:rPr>
        <w:t>5755</w:t>
      </w:r>
    </w:p>
    <w:p w:rsidR="001C1F96" w:rsidRPr="00377729" w:rsidRDefault="003A66E5">
      <w:pPr>
        <w:pStyle w:val="a5"/>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rPr>
          <w:b/>
          <w:bCs/>
          <w:sz w:val="24"/>
        </w:rPr>
        <w:t>Goteborg, Sweden, 21 - 25 August 2023</w:t>
      </w:r>
      <w:r>
        <w:tab/>
      </w:r>
      <w:r w:rsidR="00377729">
        <w:rPr>
          <w:b/>
        </w:rPr>
        <w:t>revision of S5-235582</w:t>
      </w:r>
    </w:p>
    <w:p w:rsidR="001C1F96" w:rsidRDefault="003A66E5">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Unicom, Huawei</w:t>
      </w:r>
    </w:p>
    <w:p w:rsidR="001C1F96" w:rsidRDefault="003A66E5">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WID on </w:t>
      </w:r>
      <w:r w:rsidR="008B4280">
        <w:rPr>
          <w:rFonts w:ascii="Arial" w:eastAsia="Batang" w:hAnsi="Arial" w:cs="Arial"/>
          <w:b/>
          <w:sz w:val="24"/>
          <w:szCs w:val="24"/>
          <w:lang w:eastAsia="zh-CN"/>
        </w:rPr>
        <w:t>C</w:t>
      </w:r>
      <w:r>
        <w:rPr>
          <w:rFonts w:ascii="Arial" w:eastAsia="Batang" w:hAnsi="Arial" w:cs="Arial"/>
          <w:b/>
          <w:sz w:val="24"/>
          <w:szCs w:val="24"/>
          <w:lang w:eastAsia="zh-CN"/>
        </w:rPr>
        <w:t xml:space="preserve">harging </w:t>
      </w:r>
      <w:r w:rsidR="008B4280">
        <w:rPr>
          <w:rFonts w:ascii="Arial" w:eastAsia="Batang" w:hAnsi="Arial" w:cs="Arial"/>
          <w:b/>
          <w:sz w:val="24"/>
          <w:szCs w:val="24"/>
          <w:lang w:eastAsia="zh-CN"/>
        </w:rPr>
        <w:t>E</w:t>
      </w:r>
      <w:r>
        <w:rPr>
          <w:rFonts w:ascii="Arial" w:eastAsia="Batang" w:hAnsi="Arial" w:cs="Arial"/>
          <w:b/>
          <w:sz w:val="24"/>
          <w:szCs w:val="24"/>
          <w:lang w:eastAsia="zh-CN"/>
        </w:rPr>
        <w:t xml:space="preserve">nhancements on 5WWC phase 2 </w:t>
      </w:r>
    </w:p>
    <w:p w:rsidR="001C1F96" w:rsidRDefault="003A66E5">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rsidR="001C1F96" w:rsidRDefault="003A66E5">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7.2</w:t>
      </w:r>
    </w:p>
    <w:p w:rsidR="001C1F96" w:rsidRDefault="001C1F96">
      <w:pPr>
        <w:rPr>
          <w:rFonts w:eastAsia="Batang"/>
          <w:lang w:val="en-US" w:eastAsia="zh-CN"/>
        </w:rPr>
      </w:pPr>
    </w:p>
    <w:p w:rsidR="001C1F96" w:rsidRDefault="003A66E5">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rsidR="001C1F96" w:rsidRDefault="003A66E5">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rsidR="001C1F96" w:rsidRDefault="003A66E5">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008B4280">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w:t>
      </w:r>
      <w:r w:rsidRPr="008B4280">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Charging </w:t>
      </w:r>
      <w:r w:rsidR="008B4280">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Enhancements</w:t>
      </w:r>
      <w:r w:rsidRPr="008B4280">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on 5WWC phase 2</w:t>
      </w:r>
    </w:p>
    <w:p w:rsidR="001C1F96" w:rsidRDefault="001C1F96">
      <w:pPr>
        <w:pStyle w:val="Guidance"/>
      </w:pPr>
    </w:p>
    <w:p w:rsidR="001C1F96" w:rsidRDefault="005479C4">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Acronym: </w:t>
      </w:r>
      <w:r w:rsidR="003A66E5">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5WWC_Ph2</w:t>
      </w:r>
    </w:p>
    <w:p w:rsidR="001C1F96" w:rsidRDefault="001C1F96">
      <w:pPr>
        <w:pStyle w:val="Guidance"/>
      </w:pPr>
    </w:p>
    <w:p w:rsidR="001C1F96" w:rsidRDefault="003A66E5">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5479C4">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TBD</w:t>
      </w:r>
    </w:p>
    <w:p w:rsidR="001C1F96" w:rsidRDefault="003A66E5">
      <w:pPr>
        <w:pStyle w:val="Guidance"/>
      </w:pPr>
      <w:r>
        <w:t xml:space="preserve"> </w:t>
      </w:r>
    </w:p>
    <w:p w:rsidR="001C1F96" w:rsidRDefault="003A66E5">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Rel-18</w:t>
      </w:r>
    </w:p>
    <w:p w:rsidR="001C1F96" w:rsidRDefault="001C1F96">
      <w:pPr>
        <w:pStyle w:val="Guidance"/>
      </w:pPr>
    </w:p>
    <w:p w:rsidR="001C1F96" w:rsidRDefault="003A66E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rsidR="001C1F96" w:rsidRDefault="001C1F9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1C1F96">
        <w:trPr>
          <w:cantSplit/>
          <w:jc w:val="center"/>
        </w:trPr>
        <w:tc>
          <w:tcPr>
            <w:tcW w:w="1515" w:type="dxa"/>
            <w:tcBorders>
              <w:bottom w:val="single" w:sz="12" w:space="0" w:color="auto"/>
              <w:right w:val="single" w:sz="12" w:space="0" w:color="auto"/>
            </w:tcBorders>
            <w:shd w:val="clear" w:color="auto" w:fill="E0E0E0"/>
          </w:tcPr>
          <w:p w:rsidR="001C1F96" w:rsidRDefault="003A66E5">
            <w:pPr>
              <w:pStyle w:val="TAH"/>
            </w:pPr>
            <w:r>
              <w:t>Affects:</w:t>
            </w:r>
          </w:p>
        </w:tc>
        <w:tc>
          <w:tcPr>
            <w:tcW w:w="1275" w:type="dxa"/>
            <w:tcBorders>
              <w:left w:val="nil"/>
              <w:bottom w:val="single" w:sz="12" w:space="0" w:color="auto"/>
            </w:tcBorders>
            <w:shd w:val="clear" w:color="auto" w:fill="E0E0E0"/>
          </w:tcPr>
          <w:p w:rsidR="001C1F96" w:rsidRDefault="003A66E5">
            <w:pPr>
              <w:pStyle w:val="TAH"/>
            </w:pPr>
            <w:r>
              <w:t>UICC apps</w:t>
            </w:r>
          </w:p>
        </w:tc>
        <w:tc>
          <w:tcPr>
            <w:tcW w:w="1037" w:type="dxa"/>
            <w:tcBorders>
              <w:bottom w:val="single" w:sz="12" w:space="0" w:color="auto"/>
            </w:tcBorders>
            <w:shd w:val="clear" w:color="auto" w:fill="E0E0E0"/>
          </w:tcPr>
          <w:p w:rsidR="001C1F96" w:rsidRDefault="003A66E5">
            <w:pPr>
              <w:pStyle w:val="TAH"/>
            </w:pPr>
            <w:r>
              <w:t>ME</w:t>
            </w:r>
          </w:p>
        </w:tc>
        <w:tc>
          <w:tcPr>
            <w:tcW w:w="850" w:type="dxa"/>
            <w:tcBorders>
              <w:bottom w:val="single" w:sz="12" w:space="0" w:color="auto"/>
            </w:tcBorders>
            <w:shd w:val="clear" w:color="auto" w:fill="E0E0E0"/>
          </w:tcPr>
          <w:p w:rsidR="001C1F96" w:rsidRDefault="003A66E5">
            <w:pPr>
              <w:pStyle w:val="TAH"/>
            </w:pPr>
            <w:r>
              <w:t>AN</w:t>
            </w:r>
          </w:p>
        </w:tc>
        <w:tc>
          <w:tcPr>
            <w:tcW w:w="851" w:type="dxa"/>
            <w:tcBorders>
              <w:bottom w:val="single" w:sz="12" w:space="0" w:color="auto"/>
            </w:tcBorders>
            <w:shd w:val="clear" w:color="auto" w:fill="E0E0E0"/>
          </w:tcPr>
          <w:p w:rsidR="001C1F96" w:rsidRDefault="003A66E5">
            <w:pPr>
              <w:pStyle w:val="TAH"/>
            </w:pPr>
            <w:r>
              <w:t>CN</w:t>
            </w:r>
          </w:p>
        </w:tc>
        <w:tc>
          <w:tcPr>
            <w:tcW w:w="1752" w:type="dxa"/>
            <w:tcBorders>
              <w:bottom w:val="single" w:sz="12" w:space="0" w:color="auto"/>
            </w:tcBorders>
            <w:shd w:val="clear" w:color="auto" w:fill="E0E0E0"/>
          </w:tcPr>
          <w:p w:rsidR="001C1F96" w:rsidRDefault="003A66E5">
            <w:pPr>
              <w:pStyle w:val="TAH"/>
            </w:pPr>
            <w:r>
              <w:t>Others (specify)</w:t>
            </w:r>
          </w:p>
        </w:tc>
      </w:tr>
      <w:tr w:rsidR="001C1F96">
        <w:trPr>
          <w:cantSplit/>
          <w:jc w:val="center"/>
        </w:trPr>
        <w:tc>
          <w:tcPr>
            <w:tcW w:w="1515" w:type="dxa"/>
            <w:tcBorders>
              <w:top w:val="nil"/>
              <w:right w:val="single" w:sz="12" w:space="0" w:color="auto"/>
            </w:tcBorders>
          </w:tcPr>
          <w:p w:rsidR="001C1F96" w:rsidRDefault="003A66E5">
            <w:pPr>
              <w:pStyle w:val="TAH"/>
            </w:pPr>
            <w:r>
              <w:t>Yes</w:t>
            </w:r>
          </w:p>
        </w:tc>
        <w:tc>
          <w:tcPr>
            <w:tcW w:w="1275" w:type="dxa"/>
            <w:tcBorders>
              <w:top w:val="nil"/>
              <w:left w:val="nil"/>
            </w:tcBorders>
          </w:tcPr>
          <w:p w:rsidR="001C1F96" w:rsidRDefault="001C1F96">
            <w:pPr>
              <w:pStyle w:val="TAC"/>
            </w:pPr>
          </w:p>
        </w:tc>
        <w:tc>
          <w:tcPr>
            <w:tcW w:w="1037" w:type="dxa"/>
            <w:tcBorders>
              <w:top w:val="nil"/>
            </w:tcBorders>
          </w:tcPr>
          <w:p w:rsidR="001C1F96" w:rsidRDefault="001C1F96">
            <w:pPr>
              <w:pStyle w:val="TAC"/>
            </w:pPr>
          </w:p>
        </w:tc>
        <w:tc>
          <w:tcPr>
            <w:tcW w:w="850" w:type="dxa"/>
            <w:tcBorders>
              <w:top w:val="nil"/>
            </w:tcBorders>
          </w:tcPr>
          <w:p w:rsidR="001C1F96" w:rsidRDefault="001C1F96">
            <w:pPr>
              <w:pStyle w:val="TAC"/>
            </w:pPr>
          </w:p>
        </w:tc>
        <w:tc>
          <w:tcPr>
            <w:tcW w:w="851" w:type="dxa"/>
            <w:tcBorders>
              <w:top w:val="nil"/>
            </w:tcBorders>
          </w:tcPr>
          <w:p w:rsidR="001C1F96" w:rsidRDefault="003A66E5">
            <w:pPr>
              <w:pStyle w:val="TAC"/>
              <w:rPr>
                <w:lang w:eastAsia="zh-CN"/>
              </w:rPr>
            </w:pPr>
            <w:r>
              <w:rPr>
                <w:lang w:eastAsia="zh-CN"/>
              </w:rPr>
              <w:t>X</w:t>
            </w:r>
          </w:p>
        </w:tc>
        <w:tc>
          <w:tcPr>
            <w:tcW w:w="1752" w:type="dxa"/>
            <w:tcBorders>
              <w:top w:val="nil"/>
            </w:tcBorders>
          </w:tcPr>
          <w:p w:rsidR="001C1F96" w:rsidRDefault="001C1F96">
            <w:pPr>
              <w:pStyle w:val="TAC"/>
            </w:pPr>
          </w:p>
        </w:tc>
      </w:tr>
      <w:tr w:rsidR="001C1F96">
        <w:trPr>
          <w:cantSplit/>
          <w:jc w:val="center"/>
        </w:trPr>
        <w:tc>
          <w:tcPr>
            <w:tcW w:w="1515" w:type="dxa"/>
            <w:tcBorders>
              <w:right w:val="single" w:sz="12" w:space="0" w:color="auto"/>
            </w:tcBorders>
          </w:tcPr>
          <w:p w:rsidR="001C1F96" w:rsidRDefault="003A66E5">
            <w:pPr>
              <w:pStyle w:val="TAH"/>
            </w:pPr>
            <w:r>
              <w:t>No</w:t>
            </w:r>
          </w:p>
        </w:tc>
        <w:tc>
          <w:tcPr>
            <w:tcW w:w="1275" w:type="dxa"/>
            <w:tcBorders>
              <w:left w:val="nil"/>
            </w:tcBorders>
          </w:tcPr>
          <w:p w:rsidR="001C1F96" w:rsidRDefault="003A66E5">
            <w:pPr>
              <w:pStyle w:val="TAC"/>
            </w:pPr>
            <w:r>
              <w:rPr>
                <w:rFonts w:hint="eastAsia"/>
                <w:lang w:eastAsia="zh-CN"/>
              </w:rPr>
              <w:t>X</w:t>
            </w:r>
          </w:p>
        </w:tc>
        <w:tc>
          <w:tcPr>
            <w:tcW w:w="1037" w:type="dxa"/>
          </w:tcPr>
          <w:p w:rsidR="001C1F96" w:rsidRDefault="003A66E5">
            <w:pPr>
              <w:pStyle w:val="TAC"/>
            </w:pPr>
            <w:r>
              <w:rPr>
                <w:rFonts w:hint="eastAsia"/>
                <w:lang w:eastAsia="zh-CN"/>
              </w:rPr>
              <w:t>X</w:t>
            </w:r>
          </w:p>
        </w:tc>
        <w:tc>
          <w:tcPr>
            <w:tcW w:w="850" w:type="dxa"/>
          </w:tcPr>
          <w:p w:rsidR="001C1F96" w:rsidRDefault="003A66E5">
            <w:pPr>
              <w:pStyle w:val="TAC"/>
            </w:pPr>
            <w:r>
              <w:rPr>
                <w:rFonts w:hint="eastAsia"/>
                <w:lang w:eastAsia="zh-CN"/>
              </w:rPr>
              <w:t>X</w:t>
            </w:r>
          </w:p>
        </w:tc>
        <w:tc>
          <w:tcPr>
            <w:tcW w:w="851" w:type="dxa"/>
          </w:tcPr>
          <w:p w:rsidR="001C1F96" w:rsidRDefault="001C1F96">
            <w:pPr>
              <w:pStyle w:val="TAC"/>
            </w:pPr>
          </w:p>
        </w:tc>
        <w:tc>
          <w:tcPr>
            <w:tcW w:w="1752" w:type="dxa"/>
          </w:tcPr>
          <w:p w:rsidR="001C1F96" w:rsidRDefault="001C1F96">
            <w:pPr>
              <w:pStyle w:val="TAC"/>
            </w:pPr>
          </w:p>
        </w:tc>
      </w:tr>
      <w:tr w:rsidR="001C1F96">
        <w:trPr>
          <w:cantSplit/>
          <w:jc w:val="center"/>
        </w:trPr>
        <w:tc>
          <w:tcPr>
            <w:tcW w:w="1515" w:type="dxa"/>
            <w:tcBorders>
              <w:right w:val="single" w:sz="12" w:space="0" w:color="auto"/>
            </w:tcBorders>
          </w:tcPr>
          <w:p w:rsidR="001C1F96" w:rsidRDefault="003A66E5">
            <w:pPr>
              <w:pStyle w:val="TAH"/>
            </w:pPr>
            <w:r>
              <w:t>Don't know</w:t>
            </w:r>
          </w:p>
        </w:tc>
        <w:tc>
          <w:tcPr>
            <w:tcW w:w="1275" w:type="dxa"/>
            <w:tcBorders>
              <w:left w:val="nil"/>
            </w:tcBorders>
          </w:tcPr>
          <w:p w:rsidR="001C1F96" w:rsidRDefault="001C1F96">
            <w:pPr>
              <w:pStyle w:val="TAC"/>
            </w:pPr>
          </w:p>
        </w:tc>
        <w:tc>
          <w:tcPr>
            <w:tcW w:w="1037" w:type="dxa"/>
          </w:tcPr>
          <w:p w:rsidR="001C1F96" w:rsidRDefault="001C1F96">
            <w:pPr>
              <w:pStyle w:val="TAC"/>
            </w:pPr>
          </w:p>
        </w:tc>
        <w:tc>
          <w:tcPr>
            <w:tcW w:w="850" w:type="dxa"/>
          </w:tcPr>
          <w:p w:rsidR="001C1F96" w:rsidRDefault="001C1F96">
            <w:pPr>
              <w:pStyle w:val="TAC"/>
            </w:pPr>
          </w:p>
        </w:tc>
        <w:tc>
          <w:tcPr>
            <w:tcW w:w="851" w:type="dxa"/>
          </w:tcPr>
          <w:p w:rsidR="001C1F96" w:rsidRDefault="001C1F96">
            <w:pPr>
              <w:pStyle w:val="TAC"/>
            </w:pPr>
          </w:p>
        </w:tc>
        <w:tc>
          <w:tcPr>
            <w:tcW w:w="1752" w:type="dxa"/>
          </w:tcPr>
          <w:p w:rsidR="001C1F96" w:rsidRDefault="0031218B">
            <w:pPr>
              <w:pStyle w:val="TAC"/>
              <w:rPr>
                <w:lang w:eastAsia="zh-CN"/>
              </w:rPr>
            </w:pPr>
            <w:r>
              <w:rPr>
                <w:rFonts w:hint="eastAsia"/>
                <w:lang w:eastAsia="zh-CN"/>
              </w:rPr>
              <w:t>X</w:t>
            </w:r>
          </w:p>
        </w:tc>
      </w:tr>
    </w:tbl>
    <w:p w:rsidR="001C1F96" w:rsidRDefault="001C1F96"/>
    <w:p w:rsidR="001C1F96" w:rsidRDefault="003A66E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rsidR="001C1F96" w:rsidRDefault="003A66E5">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rsidR="001C1F96" w:rsidRDefault="003A66E5">
      <w:pPr>
        <w:pStyle w:val="3"/>
      </w:pPr>
      <w:r>
        <w:t>This work item is a work item</w:t>
      </w:r>
    </w:p>
    <w:p w:rsidR="001C1F96" w:rsidRDefault="001C1F9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1C1F96">
        <w:trPr>
          <w:cantSplit/>
          <w:jc w:val="center"/>
        </w:trPr>
        <w:tc>
          <w:tcPr>
            <w:tcW w:w="452" w:type="dxa"/>
          </w:tcPr>
          <w:p w:rsidR="001C1F96" w:rsidRDefault="001C1F96">
            <w:pPr>
              <w:pStyle w:val="TAC"/>
            </w:pPr>
          </w:p>
        </w:tc>
        <w:tc>
          <w:tcPr>
            <w:tcW w:w="2917" w:type="dxa"/>
            <w:shd w:val="clear" w:color="auto" w:fill="E0E0E0"/>
          </w:tcPr>
          <w:p w:rsidR="001C1F96" w:rsidRDefault="003A66E5">
            <w:pPr>
              <w:pStyle w:val="TAH"/>
              <w:ind w:right="-99"/>
              <w:jc w:val="left"/>
              <w:rPr>
                <w:b w:val="0"/>
                <w:bCs/>
                <w:color w:val="0000FF"/>
              </w:rPr>
            </w:pPr>
            <w:r>
              <w:rPr>
                <w:b w:val="0"/>
                <w:bCs/>
                <w:color w:val="0000FF"/>
                <w:sz w:val="20"/>
              </w:rPr>
              <w:t xml:space="preserve">Study </w:t>
            </w:r>
          </w:p>
        </w:tc>
      </w:tr>
      <w:tr w:rsidR="001C1F96">
        <w:trPr>
          <w:cantSplit/>
          <w:jc w:val="center"/>
        </w:trPr>
        <w:tc>
          <w:tcPr>
            <w:tcW w:w="452" w:type="dxa"/>
          </w:tcPr>
          <w:p w:rsidR="001C1F96" w:rsidRDefault="001C1F96">
            <w:pPr>
              <w:pStyle w:val="TAC"/>
              <w:rPr>
                <w:lang w:eastAsia="zh-CN"/>
              </w:rPr>
            </w:pPr>
          </w:p>
        </w:tc>
        <w:tc>
          <w:tcPr>
            <w:tcW w:w="2917" w:type="dxa"/>
            <w:shd w:val="clear" w:color="auto" w:fill="E0E0E0"/>
          </w:tcPr>
          <w:p w:rsidR="001C1F96" w:rsidRDefault="003A66E5">
            <w:pPr>
              <w:pStyle w:val="TAH"/>
              <w:ind w:right="-99"/>
              <w:jc w:val="left"/>
              <w:rPr>
                <w:b w:val="0"/>
                <w:bCs/>
                <w:color w:val="auto"/>
              </w:rPr>
            </w:pPr>
            <w:r>
              <w:rPr>
                <w:b w:val="0"/>
                <w:bCs/>
                <w:color w:val="auto"/>
                <w:sz w:val="20"/>
              </w:rPr>
              <w:t>Normative – Stage 1</w:t>
            </w:r>
          </w:p>
        </w:tc>
      </w:tr>
      <w:tr w:rsidR="001C1F96">
        <w:trPr>
          <w:cantSplit/>
          <w:jc w:val="center"/>
        </w:trPr>
        <w:tc>
          <w:tcPr>
            <w:tcW w:w="452" w:type="dxa"/>
          </w:tcPr>
          <w:p w:rsidR="001C1F96" w:rsidRDefault="003A66E5">
            <w:pPr>
              <w:pStyle w:val="TAC"/>
              <w:rPr>
                <w:lang w:eastAsia="zh-CN"/>
              </w:rPr>
            </w:pPr>
            <w:r>
              <w:rPr>
                <w:rFonts w:hint="eastAsia"/>
                <w:lang w:eastAsia="zh-CN"/>
              </w:rPr>
              <w:t>x</w:t>
            </w:r>
          </w:p>
        </w:tc>
        <w:tc>
          <w:tcPr>
            <w:tcW w:w="2917" w:type="dxa"/>
            <w:shd w:val="clear" w:color="auto" w:fill="E0E0E0"/>
          </w:tcPr>
          <w:p w:rsidR="001C1F96" w:rsidRDefault="003A66E5">
            <w:pPr>
              <w:pStyle w:val="TAH"/>
              <w:ind w:right="-99"/>
              <w:jc w:val="left"/>
              <w:rPr>
                <w:b w:val="0"/>
                <w:bCs/>
                <w:color w:val="auto"/>
              </w:rPr>
            </w:pPr>
            <w:r>
              <w:rPr>
                <w:b w:val="0"/>
                <w:bCs/>
                <w:color w:val="auto"/>
                <w:sz w:val="20"/>
              </w:rPr>
              <w:t>Normative – Stage 2</w:t>
            </w:r>
          </w:p>
        </w:tc>
      </w:tr>
      <w:tr w:rsidR="001C1F96">
        <w:trPr>
          <w:cantSplit/>
          <w:jc w:val="center"/>
        </w:trPr>
        <w:tc>
          <w:tcPr>
            <w:tcW w:w="452" w:type="dxa"/>
          </w:tcPr>
          <w:p w:rsidR="001C1F96" w:rsidRDefault="003A66E5">
            <w:pPr>
              <w:pStyle w:val="TAC"/>
              <w:rPr>
                <w:lang w:eastAsia="zh-CN"/>
              </w:rPr>
            </w:pPr>
            <w:r>
              <w:rPr>
                <w:rFonts w:hint="eastAsia"/>
                <w:lang w:eastAsia="zh-CN"/>
              </w:rPr>
              <w:t>x</w:t>
            </w:r>
          </w:p>
        </w:tc>
        <w:tc>
          <w:tcPr>
            <w:tcW w:w="2917" w:type="dxa"/>
            <w:shd w:val="clear" w:color="auto" w:fill="E0E0E0"/>
          </w:tcPr>
          <w:p w:rsidR="001C1F96" w:rsidRDefault="003A66E5">
            <w:pPr>
              <w:pStyle w:val="TAH"/>
              <w:ind w:right="-99"/>
              <w:jc w:val="left"/>
              <w:rPr>
                <w:b w:val="0"/>
                <w:bCs/>
                <w:color w:val="auto"/>
              </w:rPr>
            </w:pPr>
            <w:r>
              <w:rPr>
                <w:b w:val="0"/>
                <w:bCs/>
                <w:color w:val="auto"/>
                <w:sz w:val="20"/>
              </w:rPr>
              <w:t>Normative – Stage 3</w:t>
            </w:r>
          </w:p>
        </w:tc>
      </w:tr>
      <w:tr w:rsidR="001C1F96">
        <w:trPr>
          <w:cantSplit/>
          <w:jc w:val="center"/>
        </w:trPr>
        <w:tc>
          <w:tcPr>
            <w:tcW w:w="452" w:type="dxa"/>
          </w:tcPr>
          <w:p w:rsidR="001C1F96" w:rsidRDefault="001C1F96">
            <w:pPr>
              <w:pStyle w:val="TAC"/>
            </w:pPr>
          </w:p>
        </w:tc>
        <w:tc>
          <w:tcPr>
            <w:tcW w:w="2917" w:type="dxa"/>
            <w:shd w:val="clear" w:color="auto" w:fill="E0E0E0"/>
          </w:tcPr>
          <w:p w:rsidR="001C1F96" w:rsidRDefault="003A66E5">
            <w:pPr>
              <w:pStyle w:val="TAH"/>
              <w:ind w:right="-99"/>
              <w:jc w:val="left"/>
              <w:rPr>
                <w:b w:val="0"/>
                <w:bCs/>
                <w:color w:val="auto"/>
              </w:rPr>
            </w:pPr>
            <w:r>
              <w:rPr>
                <w:b w:val="0"/>
                <w:bCs/>
                <w:color w:val="auto"/>
                <w:sz w:val="20"/>
              </w:rPr>
              <w:t>Normative – Other*</w:t>
            </w:r>
          </w:p>
        </w:tc>
      </w:tr>
    </w:tbl>
    <w:p w:rsidR="001C1F96" w:rsidRDefault="001C1F96">
      <w:pPr>
        <w:ind w:right="-99"/>
        <w:rPr>
          <w:b/>
        </w:rPr>
      </w:pPr>
    </w:p>
    <w:p w:rsidR="001C1F96" w:rsidRDefault="003A66E5">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rsidR="001C1F96" w:rsidRDefault="003A66E5">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68"/>
        <w:gridCol w:w="1134"/>
        <w:gridCol w:w="1134"/>
        <w:gridCol w:w="5777"/>
      </w:tblGrid>
      <w:tr w:rsidR="001C1F96">
        <w:trPr>
          <w:cantSplit/>
          <w:jc w:val="center"/>
        </w:trPr>
        <w:tc>
          <w:tcPr>
            <w:tcW w:w="9313" w:type="dxa"/>
            <w:gridSpan w:val="4"/>
            <w:shd w:val="clear" w:color="auto" w:fill="E0E0E0"/>
          </w:tcPr>
          <w:p w:rsidR="001C1F96" w:rsidRDefault="003A66E5">
            <w:pPr>
              <w:pStyle w:val="TAH"/>
              <w:ind w:right="-99"/>
              <w:jc w:val="left"/>
            </w:pPr>
            <w:r>
              <w:lastRenderedPageBreak/>
              <w:t xml:space="preserve">Parent Work / Study Items </w:t>
            </w:r>
          </w:p>
        </w:tc>
      </w:tr>
      <w:tr w:rsidR="001C1F96" w:rsidTr="0031218B">
        <w:trPr>
          <w:cantSplit/>
          <w:jc w:val="center"/>
        </w:trPr>
        <w:tc>
          <w:tcPr>
            <w:tcW w:w="1268" w:type="dxa"/>
            <w:shd w:val="clear" w:color="auto" w:fill="E0E0E0"/>
          </w:tcPr>
          <w:p w:rsidR="001C1F96" w:rsidRDefault="003A66E5">
            <w:pPr>
              <w:pStyle w:val="TAH"/>
              <w:ind w:right="-99"/>
              <w:jc w:val="left"/>
            </w:pPr>
            <w:r>
              <w:t>Acronym</w:t>
            </w:r>
          </w:p>
        </w:tc>
        <w:tc>
          <w:tcPr>
            <w:tcW w:w="1134" w:type="dxa"/>
            <w:shd w:val="clear" w:color="auto" w:fill="E0E0E0"/>
          </w:tcPr>
          <w:p w:rsidR="001C1F96" w:rsidRDefault="003A66E5">
            <w:pPr>
              <w:pStyle w:val="TAH"/>
              <w:ind w:right="-99"/>
              <w:jc w:val="left"/>
            </w:pPr>
            <w:r>
              <w:t>Working Group</w:t>
            </w:r>
          </w:p>
        </w:tc>
        <w:tc>
          <w:tcPr>
            <w:tcW w:w="1134" w:type="dxa"/>
            <w:shd w:val="clear" w:color="auto" w:fill="E0E0E0"/>
          </w:tcPr>
          <w:p w:rsidR="001C1F96" w:rsidRDefault="003A66E5">
            <w:pPr>
              <w:pStyle w:val="TAH"/>
              <w:ind w:right="-99"/>
              <w:jc w:val="left"/>
            </w:pPr>
            <w:r>
              <w:t>Unique ID</w:t>
            </w:r>
          </w:p>
        </w:tc>
        <w:tc>
          <w:tcPr>
            <w:tcW w:w="5777" w:type="dxa"/>
            <w:shd w:val="clear" w:color="auto" w:fill="E0E0E0"/>
          </w:tcPr>
          <w:p w:rsidR="001C1F96" w:rsidRDefault="003A66E5">
            <w:pPr>
              <w:pStyle w:val="TAH"/>
              <w:ind w:right="-99"/>
              <w:jc w:val="left"/>
            </w:pPr>
            <w:r>
              <w:t>Title (as in 3GPP Work Plan)</w:t>
            </w:r>
          </w:p>
        </w:tc>
      </w:tr>
    </w:tbl>
    <w:p w:rsidR="001C1F96" w:rsidRDefault="001C1F96"/>
    <w:p w:rsidR="001C1F96" w:rsidRDefault="003A66E5">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1C1F96">
        <w:trPr>
          <w:cantSplit/>
          <w:jc w:val="center"/>
        </w:trPr>
        <w:tc>
          <w:tcPr>
            <w:tcW w:w="9526" w:type="dxa"/>
            <w:gridSpan w:val="3"/>
            <w:shd w:val="clear" w:color="auto" w:fill="E0E0E0"/>
          </w:tcPr>
          <w:p w:rsidR="001C1F96" w:rsidRDefault="003A66E5">
            <w:pPr>
              <w:pStyle w:val="TAH"/>
            </w:pPr>
            <w:r>
              <w:t>Other related Work /Study Items (if any)</w:t>
            </w:r>
          </w:p>
        </w:tc>
      </w:tr>
      <w:tr w:rsidR="001C1F96">
        <w:trPr>
          <w:cantSplit/>
          <w:jc w:val="center"/>
        </w:trPr>
        <w:tc>
          <w:tcPr>
            <w:tcW w:w="1101" w:type="dxa"/>
            <w:shd w:val="clear" w:color="auto" w:fill="E0E0E0"/>
          </w:tcPr>
          <w:p w:rsidR="001C1F96" w:rsidRDefault="003A66E5">
            <w:pPr>
              <w:pStyle w:val="TAH"/>
            </w:pPr>
            <w:r>
              <w:t>Unique ID</w:t>
            </w:r>
          </w:p>
        </w:tc>
        <w:tc>
          <w:tcPr>
            <w:tcW w:w="3326" w:type="dxa"/>
            <w:shd w:val="clear" w:color="auto" w:fill="E0E0E0"/>
          </w:tcPr>
          <w:p w:rsidR="001C1F96" w:rsidRDefault="003A66E5">
            <w:pPr>
              <w:pStyle w:val="TAH"/>
            </w:pPr>
            <w:r>
              <w:t>Title</w:t>
            </w:r>
          </w:p>
        </w:tc>
        <w:tc>
          <w:tcPr>
            <w:tcW w:w="5099" w:type="dxa"/>
            <w:shd w:val="clear" w:color="auto" w:fill="E0E0E0"/>
          </w:tcPr>
          <w:p w:rsidR="001C1F96" w:rsidRDefault="003A66E5">
            <w:pPr>
              <w:pStyle w:val="TAH"/>
            </w:pPr>
            <w:r>
              <w:t>Nature of relationship</w:t>
            </w:r>
          </w:p>
        </w:tc>
      </w:tr>
      <w:tr w:rsidR="00A45EE8">
        <w:trPr>
          <w:cantSplit/>
          <w:jc w:val="center"/>
        </w:trPr>
        <w:tc>
          <w:tcPr>
            <w:tcW w:w="1101" w:type="dxa"/>
          </w:tcPr>
          <w:p w:rsidR="00A45EE8" w:rsidRDefault="00A45EE8" w:rsidP="00A45EE8">
            <w:pPr>
              <w:pStyle w:val="TAL"/>
            </w:pPr>
            <w:r w:rsidRPr="00CB4C98">
              <w:t>830050</w:t>
            </w:r>
          </w:p>
        </w:tc>
        <w:tc>
          <w:tcPr>
            <w:tcW w:w="3326" w:type="dxa"/>
          </w:tcPr>
          <w:p w:rsidR="00A45EE8" w:rsidRDefault="00A45EE8" w:rsidP="00A45EE8">
            <w:pPr>
              <w:pStyle w:val="TAL"/>
              <w:rPr>
                <w:lang w:eastAsia="zh-CN"/>
              </w:rPr>
            </w:pPr>
            <w:r>
              <w:rPr>
                <w:rFonts w:hint="eastAsia"/>
                <w:lang w:eastAsia="zh-CN"/>
              </w:rPr>
              <w:t>C</w:t>
            </w:r>
            <w:r>
              <w:rPr>
                <w:lang w:eastAsia="zh-CN"/>
              </w:rPr>
              <w:t>harging aspect of 5WWC</w:t>
            </w:r>
          </w:p>
        </w:tc>
        <w:tc>
          <w:tcPr>
            <w:tcW w:w="5099" w:type="dxa"/>
          </w:tcPr>
          <w:p w:rsidR="00A45EE8" w:rsidRPr="00251D80" w:rsidRDefault="00A45EE8" w:rsidP="00A45EE8">
            <w:pPr>
              <w:pStyle w:val="TAL"/>
              <w:rPr>
                <w:lang w:eastAsia="zh-CN"/>
              </w:rPr>
            </w:pPr>
            <w:r>
              <w:rPr>
                <w:lang w:eastAsia="zh-CN"/>
              </w:rPr>
              <w:t>T</w:t>
            </w:r>
            <w:r>
              <w:rPr>
                <w:rFonts w:hint="eastAsia"/>
                <w:lang w:eastAsia="zh-CN"/>
              </w:rPr>
              <w:t>his</w:t>
            </w:r>
            <w:r>
              <w:rPr>
                <w:lang w:eastAsia="zh-CN"/>
              </w:rPr>
              <w:t xml:space="preserve"> work item specifies charging enhancements for SMF based on architecture of 5WWC specified in TS 23.316.</w:t>
            </w:r>
          </w:p>
        </w:tc>
      </w:tr>
      <w:tr w:rsidR="007D6D3B">
        <w:trPr>
          <w:cantSplit/>
          <w:jc w:val="center"/>
        </w:trPr>
        <w:tc>
          <w:tcPr>
            <w:tcW w:w="1101" w:type="dxa"/>
          </w:tcPr>
          <w:p w:rsidR="007D6D3B" w:rsidRPr="00CB4C98" w:rsidRDefault="007D6D3B" w:rsidP="007D6D3B">
            <w:pPr>
              <w:pStyle w:val="TAL"/>
              <w:rPr>
                <w:lang w:eastAsia="zh-CN"/>
              </w:rPr>
            </w:pPr>
            <w:r>
              <w:rPr>
                <w:rFonts w:hint="eastAsia"/>
                <w:lang w:eastAsia="zh-CN"/>
              </w:rPr>
              <w:t>9</w:t>
            </w:r>
            <w:r>
              <w:rPr>
                <w:lang w:eastAsia="zh-CN"/>
              </w:rPr>
              <w:t>70010</w:t>
            </w:r>
          </w:p>
        </w:tc>
        <w:tc>
          <w:tcPr>
            <w:tcW w:w="3326" w:type="dxa"/>
          </w:tcPr>
          <w:p w:rsidR="007D6D3B" w:rsidRDefault="007D6D3B" w:rsidP="007D6D3B">
            <w:pPr>
              <w:pStyle w:val="TAL"/>
              <w:rPr>
                <w:lang w:eastAsia="zh-CN"/>
              </w:rPr>
            </w:pPr>
            <w:r w:rsidRPr="007D6D3B">
              <w:rPr>
                <w:lang w:eastAsia="zh-CN"/>
              </w:rPr>
              <w:t>Wireless and wireline convergence access support for the 5G System (5GS)</w:t>
            </w:r>
          </w:p>
        </w:tc>
        <w:tc>
          <w:tcPr>
            <w:tcW w:w="5099" w:type="dxa"/>
          </w:tcPr>
          <w:p w:rsidR="007D6D3B" w:rsidRDefault="007D6D3B" w:rsidP="007D6D3B">
            <w:pPr>
              <w:pStyle w:val="TAL"/>
              <w:rPr>
                <w:lang w:eastAsia="zh-CN"/>
              </w:rPr>
            </w:pPr>
            <w:r>
              <w:rPr>
                <w:rFonts w:ascii="Segoe UI" w:hAnsi="Segoe UI" w:cs="Segoe UI"/>
                <w:color w:val="333333"/>
                <w:szCs w:val="18"/>
                <w:shd w:val="clear" w:color="auto" w:fill="FFFFFF"/>
              </w:rPr>
              <w:t>Support for Wireless and Wireline Convergence Phase </w:t>
            </w:r>
            <w:r>
              <w:rPr>
                <w:lang w:eastAsia="zh-CN"/>
              </w:rPr>
              <w:t xml:space="preserve"> 2</w:t>
            </w:r>
          </w:p>
        </w:tc>
      </w:tr>
    </w:tbl>
    <w:p w:rsidR="001C1F96" w:rsidRDefault="001C1F96">
      <w:pPr>
        <w:pStyle w:val="FP"/>
      </w:pPr>
    </w:p>
    <w:p w:rsidR="001C1F96" w:rsidRDefault="003A66E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rsidR="00CF5E65" w:rsidRDefault="003A66E5" w:rsidP="005E0DEF">
      <w:pPr>
        <w:spacing w:beforeLines="50" w:before="120"/>
      </w:pPr>
      <w:r>
        <w:rPr>
          <w:lang w:eastAsia="zh-CN"/>
        </w:rPr>
        <w:t>3GPP TS 23.316 specifies</w:t>
      </w:r>
      <w:r>
        <w:t xml:space="preserve"> enhancements to Stage 2 system architecture, procedure and flows, Policy and Charging Control for the 5G System defined in TS 23.501 in order to support wireline access network and Fixed Wireless Access, which is under the development of SA2 work item 5WWC (UID 830050 ). SA5 investigates and specifies the charging enhancement based on the output of 5WWC and content in TS 23.316.</w:t>
      </w:r>
    </w:p>
    <w:p w:rsidR="00CF5E65" w:rsidRPr="00CF5E65" w:rsidRDefault="00CF5E65" w:rsidP="005E0DEF">
      <w:pPr>
        <w:spacing w:beforeLines="50" w:before="120"/>
        <w:rPr>
          <w:lang w:eastAsia="zh-CN"/>
        </w:rPr>
      </w:pPr>
      <w:r>
        <w:rPr>
          <w:lang w:eastAsia="zh-CN"/>
        </w:rPr>
        <w:t>In general, the RAT types of wireline, subscriber identifier and user equipment information related to 5G RG</w:t>
      </w:r>
      <w:r w:rsidR="00157C7C">
        <w:rPr>
          <w:lang w:eastAsia="zh-CN"/>
        </w:rPr>
        <w:t>(Residential Gateway)</w:t>
      </w:r>
      <w:r>
        <w:rPr>
          <w:lang w:eastAsia="zh-CN"/>
        </w:rPr>
        <w:t>, FN</w:t>
      </w:r>
      <w:r w:rsidR="00157C7C">
        <w:rPr>
          <w:lang w:eastAsia="zh-CN"/>
        </w:rPr>
        <w:t>(Fix N</w:t>
      </w:r>
      <w:bookmarkStart w:id="0" w:name="_GoBack"/>
      <w:bookmarkEnd w:id="0"/>
      <w:r w:rsidR="00157C7C">
        <w:rPr>
          <w:lang w:eastAsia="zh-CN"/>
        </w:rPr>
        <w:t>etwork)</w:t>
      </w:r>
      <w:r>
        <w:rPr>
          <w:lang w:eastAsia="zh-CN"/>
        </w:rPr>
        <w:t xml:space="preserve"> RG are included in charging information as the input information for CDR generation for wireline access cases.</w:t>
      </w:r>
    </w:p>
    <w:p w:rsidR="00B303FE" w:rsidRDefault="003A66E5" w:rsidP="005E0DEF">
      <w:pPr>
        <w:spacing w:beforeLines="50" w:before="120"/>
      </w:pPr>
      <w:r>
        <w:t>SA2 also specified a number of enhancement with change requests to TS 23.316. Some of the enhancements are indicated to have the requirements for charging aspect:</w:t>
      </w:r>
    </w:p>
    <w:p w:rsidR="00B303FE" w:rsidRPr="005E0DEF" w:rsidRDefault="00152910" w:rsidP="005E0DEF">
      <w:pPr>
        <w:pStyle w:val="a9"/>
        <w:numPr>
          <w:ilvl w:val="0"/>
          <w:numId w:val="2"/>
        </w:numPr>
        <w:spacing w:beforeLines="50" w:before="120"/>
        <w:rPr>
          <w:rFonts w:hint="eastAsia"/>
          <w:sz w:val="20"/>
          <w:szCs w:val="20"/>
          <w:lang w:val="en-GB"/>
        </w:rPr>
      </w:pPr>
      <w:r w:rsidRPr="005E0DEF">
        <w:rPr>
          <w:rFonts w:hint="eastAsia"/>
          <w:sz w:val="20"/>
          <w:szCs w:val="20"/>
          <w:lang w:val="en-GB"/>
        </w:rPr>
        <w:t>A</w:t>
      </w:r>
      <w:r w:rsidRPr="005E0DEF">
        <w:rPr>
          <w:sz w:val="20"/>
          <w:szCs w:val="20"/>
          <w:lang w:val="en-GB"/>
        </w:rPr>
        <w:t xml:space="preserve">ccording to </w:t>
      </w:r>
      <w:r w:rsidRPr="005E0DEF">
        <w:rPr>
          <w:rFonts w:hint="eastAsia"/>
          <w:sz w:val="20"/>
          <w:szCs w:val="20"/>
          <w:lang w:val="en-GB"/>
        </w:rPr>
        <w:t>A</w:t>
      </w:r>
      <w:r w:rsidRPr="005E0DEF">
        <w:rPr>
          <w:sz w:val="20"/>
          <w:szCs w:val="20"/>
          <w:lang w:val="en-GB"/>
        </w:rPr>
        <w:t xml:space="preserve">nnex B of TS 23.316, </w:t>
      </w:r>
      <w:r w:rsidR="00B303FE" w:rsidRPr="005E0DEF">
        <w:rPr>
          <w:rFonts w:hint="eastAsia"/>
          <w:sz w:val="20"/>
          <w:szCs w:val="20"/>
          <w:lang w:val="en-GB"/>
        </w:rPr>
        <w:t>t</w:t>
      </w:r>
      <w:r w:rsidR="00B303FE" w:rsidRPr="005E0DEF">
        <w:rPr>
          <w:sz w:val="20"/>
          <w:szCs w:val="20"/>
          <w:lang w:val="en-GB"/>
        </w:rPr>
        <w:t xml:space="preserve">o support QoS differentiation for the UE’s traffic, QoS mapping rules between the RG's 5GC and the UE's 5GC are governed by an SLA (or network configuration in case of single operator), which includes the mapping between the DSCP marking for the IPsec child SAs and the corresponding QoS parameters and also the N3IWF/TNGF IP address(es). The non-alteration of the DSCP field on NWu/NWt is also governed by the SLA and by transport-level arrangements that are outside of 3GPP scope. The SLA also governs the RG PDU session IP addresses. </w:t>
      </w:r>
    </w:p>
    <w:p w:rsidR="00B303FE" w:rsidRDefault="00B303FE" w:rsidP="005E0DEF">
      <w:pPr>
        <w:spacing w:beforeLines="50" w:before="120"/>
      </w:pPr>
      <w:r>
        <w:rPr>
          <w:lang w:eastAsia="zh-CN"/>
        </w:rPr>
        <w:t xml:space="preserve">The RG’s PCF and SMF may provide PCC rules and QoS rules for the available mappings as determined by the SLA. </w:t>
      </w:r>
      <w:r>
        <w:t>The packet detection filters in the RG's UPF can be based on the N3IWF/TNGF IP address and the DSCP markings on NWu/NWt.</w:t>
      </w:r>
    </w:p>
    <w:p w:rsidR="00CF5E65" w:rsidRDefault="00152910" w:rsidP="005E0DEF">
      <w:pPr>
        <w:spacing w:beforeLines="50" w:before="120"/>
      </w:pPr>
      <w:r>
        <w:t>UE's SMF/PCF may use the UE's local IP address, which is the N6 address of the RG's PDU session, to enable differentiated QoS and charging when the UE is accessing N3IWF/TNGF IP addresses via a W-5GAN.</w:t>
      </w:r>
      <w:r>
        <w:rPr>
          <w:rFonts w:hint="eastAsia"/>
        </w:rPr>
        <w:t xml:space="preserve"> </w:t>
      </w:r>
      <w:r>
        <w:t xml:space="preserve">Then, the differentiated charging is enabled by the awareness of N3IWG/TNGF for UE’s PDU session, and enabled by the awareness of RG PDU Session IP addresses. </w:t>
      </w:r>
    </w:p>
    <w:p w:rsidR="00152910" w:rsidRDefault="00CF5E65" w:rsidP="005E0DEF">
      <w:pPr>
        <w:spacing w:beforeLines="50" w:before="120"/>
      </w:pPr>
      <w:r>
        <w:rPr>
          <w:rFonts w:hint="eastAsia"/>
          <w:lang w:eastAsia="zh-CN"/>
        </w:rPr>
        <w:t>B</w:t>
      </w:r>
      <w:r>
        <w:rPr>
          <w:lang w:eastAsia="zh-CN"/>
        </w:rPr>
        <w:t>ased on above description, the charging requirement for case of UE behind a 5G RG may be supported in charging aspect of 5G data connectivity domain charging.</w:t>
      </w:r>
    </w:p>
    <w:p w:rsidR="001C1F96" w:rsidRDefault="001C1F96"/>
    <w:p w:rsidR="001C1F96" w:rsidRDefault="003A66E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rsidR="007D02FD" w:rsidRDefault="007D02FD" w:rsidP="007D02FD">
      <w:pPr>
        <w:spacing w:before="100" w:beforeAutospacing="1"/>
        <w:rPr>
          <w:lang w:eastAsia="zh-CN"/>
        </w:rPr>
      </w:pPr>
      <w:r>
        <w:rPr>
          <w:rFonts w:hint="eastAsia"/>
          <w:lang w:eastAsia="zh-CN"/>
        </w:rPr>
        <w:t>T</w:t>
      </w:r>
      <w:r>
        <w:rPr>
          <w:lang w:eastAsia="zh-CN"/>
        </w:rPr>
        <w:t>his work item is to specify for SMF enhancement of charging in</w:t>
      </w:r>
      <w:r w:rsidR="006D3D53">
        <w:rPr>
          <w:lang w:eastAsia="zh-CN"/>
        </w:rPr>
        <w:t xml:space="preserve"> </w:t>
      </w:r>
      <w:r>
        <w:rPr>
          <w:lang w:eastAsia="zh-CN"/>
        </w:rPr>
        <w:t>5G data connectivity domain charging based on the enhancement in 5WWC_Ph2 which are documented in TS 23.316, as following:</w:t>
      </w:r>
    </w:p>
    <w:p w:rsidR="007D02FD" w:rsidRPr="00970FA4" w:rsidRDefault="007D02FD" w:rsidP="007D02FD">
      <w:pPr>
        <w:pStyle w:val="a9"/>
        <w:spacing w:after="0" w:afterAutospacing="0"/>
        <w:ind w:left="360"/>
        <w:rPr>
          <w:sz w:val="20"/>
          <w:szCs w:val="20"/>
        </w:rPr>
      </w:pPr>
      <w:r w:rsidRPr="00970FA4">
        <w:rPr>
          <w:sz w:val="20"/>
          <w:szCs w:val="20"/>
        </w:rPr>
        <w:t xml:space="preserve">- The requirement, charging information and CDR, related to </w:t>
      </w:r>
      <w:r w:rsidRPr="002A5D1E">
        <w:rPr>
          <w:sz w:val="20"/>
          <w:szCs w:val="20"/>
        </w:rPr>
        <w:t>differentiate</w:t>
      </w:r>
      <w:r w:rsidRPr="00970FA4">
        <w:rPr>
          <w:sz w:val="20"/>
          <w:szCs w:val="20"/>
        </w:rPr>
        <w:t>d</w:t>
      </w:r>
      <w:r w:rsidRPr="002A5D1E">
        <w:rPr>
          <w:sz w:val="20"/>
          <w:szCs w:val="20"/>
        </w:rPr>
        <w:t xml:space="preserve"> charging </w:t>
      </w:r>
      <w:r w:rsidRPr="00970FA4">
        <w:rPr>
          <w:sz w:val="20"/>
          <w:szCs w:val="20"/>
        </w:rPr>
        <w:t>for UE behind the RG</w:t>
      </w:r>
      <w:r>
        <w:rPr>
          <w:sz w:val="20"/>
          <w:szCs w:val="20"/>
        </w:rPr>
        <w:t>, as specified in TS 23.316</w:t>
      </w:r>
      <w:r w:rsidRPr="00970FA4">
        <w:rPr>
          <w:sz w:val="20"/>
          <w:szCs w:val="20"/>
        </w:rPr>
        <w:t xml:space="preserve">. </w:t>
      </w:r>
    </w:p>
    <w:p w:rsidR="001C1F96" w:rsidRDefault="003A66E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rsidR="001C1F96" w:rsidRDefault="003A66E5">
      <w:pPr>
        <w:rPr>
          <w:b/>
          <w:bCs/>
          <w:i/>
          <w:iCs/>
        </w:rPr>
      </w:pPr>
      <w:r>
        <w:rPr>
          <w:b/>
          <w:bCs/>
          <w:i/>
          <w:iCs/>
        </w:rPr>
        <w:t>{If this WID covers both stage 2 and stage 3, clearly indicate the different completion dates.}</w:t>
      </w:r>
    </w:p>
    <w:p w:rsidR="001C1F96" w:rsidRDefault="001C1F9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C1F96">
        <w:trPr>
          <w:cantSplit/>
          <w:jc w:val="center"/>
        </w:trPr>
        <w:tc>
          <w:tcPr>
            <w:tcW w:w="9413" w:type="dxa"/>
            <w:gridSpan w:val="6"/>
            <w:shd w:val="clear" w:color="auto" w:fill="D9D9D9"/>
            <w:tcMar>
              <w:left w:w="57" w:type="dxa"/>
              <w:right w:w="57" w:type="dxa"/>
            </w:tcMar>
          </w:tcPr>
          <w:p w:rsidR="001C1F96" w:rsidRDefault="003A66E5">
            <w:pPr>
              <w:pStyle w:val="TAH"/>
            </w:pPr>
            <w:r>
              <w:lastRenderedPageBreak/>
              <w:t>New specifications {One line per specification. Create/delete lines as needed}</w:t>
            </w:r>
          </w:p>
        </w:tc>
      </w:tr>
      <w:tr w:rsidR="001C1F96">
        <w:trPr>
          <w:cantSplit/>
          <w:jc w:val="center"/>
        </w:trPr>
        <w:tc>
          <w:tcPr>
            <w:tcW w:w="1617" w:type="dxa"/>
            <w:shd w:val="clear" w:color="auto" w:fill="D9D9D9"/>
            <w:tcMar>
              <w:left w:w="57" w:type="dxa"/>
              <w:right w:w="57" w:type="dxa"/>
            </w:tcMar>
          </w:tcPr>
          <w:p w:rsidR="001C1F96" w:rsidRDefault="003A66E5">
            <w:pPr>
              <w:pStyle w:val="TAH"/>
            </w:pPr>
            <w:r>
              <w:t xml:space="preserve">Type </w:t>
            </w:r>
          </w:p>
        </w:tc>
        <w:tc>
          <w:tcPr>
            <w:tcW w:w="1134" w:type="dxa"/>
            <w:shd w:val="clear" w:color="auto" w:fill="D9D9D9"/>
            <w:tcMar>
              <w:left w:w="57" w:type="dxa"/>
              <w:right w:w="57" w:type="dxa"/>
            </w:tcMar>
          </w:tcPr>
          <w:p w:rsidR="001C1F96" w:rsidRDefault="003A66E5">
            <w:pPr>
              <w:pStyle w:val="TAH"/>
            </w:pPr>
            <w:r>
              <w:t>TS/TR number</w:t>
            </w:r>
          </w:p>
        </w:tc>
        <w:tc>
          <w:tcPr>
            <w:tcW w:w="2409" w:type="dxa"/>
            <w:shd w:val="clear" w:color="auto" w:fill="D9D9D9"/>
            <w:tcMar>
              <w:left w:w="57" w:type="dxa"/>
              <w:right w:w="57" w:type="dxa"/>
            </w:tcMar>
          </w:tcPr>
          <w:p w:rsidR="001C1F96" w:rsidRDefault="003A66E5">
            <w:pPr>
              <w:pStyle w:val="TAH"/>
            </w:pPr>
            <w:r>
              <w:t>Title</w:t>
            </w:r>
          </w:p>
        </w:tc>
        <w:tc>
          <w:tcPr>
            <w:tcW w:w="993" w:type="dxa"/>
            <w:shd w:val="clear" w:color="auto" w:fill="D9D9D9"/>
            <w:tcMar>
              <w:left w:w="57" w:type="dxa"/>
              <w:right w:w="57" w:type="dxa"/>
            </w:tcMar>
          </w:tcPr>
          <w:p w:rsidR="001C1F96" w:rsidRDefault="003A66E5">
            <w:pPr>
              <w:pStyle w:val="TAH"/>
            </w:pPr>
            <w:r>
              <w:t xml:space="preserve">For info </w:t>
            </w:r>
            <w:r>
              <w:br/>
              <w:t xml:space="preserve">at TSG# </w:t>
            </w:r>
          </w:p>
        </w:tc>
        <w:tc>
          <w:tcPr>
            <w:tcW w:w="1074" w:type="dxa"/>
            <w:shd w:val="clear" w:color="auto" w:fill="D9D9D9"/>
            <w:tcMar>
              <w:left w:w="57" w:type="dxa"/>
              <w:right w:w="57" w:type="dxa"/>
            </w:tcMar>
          </w:tcPr>
          <w:p w:rsidR="001C1F96" w:rsidRDefault="003A66E5">
            <w:pPr>
              <w:pStyle w:val="TAH"/>
            </w:pPr>
            <w:r>
              <w:t>For approval at TSG#</w:t>
            </w:r>
          </w:p>
        </w:tc>
        <w:tc>
          <w:tcPr>
            <w:tcW w:w="2186" w:type="dxa"/>
            <w:shd w:val="clear" w:color="auto" w:fill="D9D9D9"/>
            <w:tcMar>
              <w:left w:w="57" w:type="dxa"/>
              <w:right w:w="57" w:type="dxa"/>
            </w:tcMar>
          </w:tcPr>
          <w:p w:rsidR="001C1F96" w:rsidRDefault="003A66E5">
            <w:pPr>
              <w:pStyle w:val="TAH"/>
            </w:pPr>
            <w:r>
              <w:t>Rapporteur</w:t>
            </w:r>
          </w:p>
        </w:tc>
      </w:tr>
      <w:tr w:rsidR="001C1F96">
        <w:trPr>
          <w:cantSplit/>
          <w:jc w:val="center"/>
        </w:trPr>
        <w:tc>
          <w:tcPr>
            <w:tcW w:w="1617" w:type="dxa"/>
          </w:tcPr>
          <w:p w:rsidR="001C1F96" w:rsidRDefault="001C1F96">
            <w:pPr>
              <w:pStyle w:val="Guidance"/>
              <w:spacing w:after="0"/>
              <w:rPr>
                <w:i w:val="0"/>
              </w:rPr>
            </w:pPr>
          </w:p>
        </w:tc>
        <w:tc>
          <w:tcPr>
            <w:tcW w:w="1134" w:type="dxa"/>
          </w:tcPr>
          <w:p w:rsidR="001C1F96" w:rsidRDefault="001C1F96">
            <w:pPr>
              <w:pStyle w:val="Guidance"/>
              <w:spacing w:after="0"/>
              <w:rPr>
                <w:i w:val="0"/>
              </w:rPr>
            </w:pPr>
          </w:p>
        </w:tc>
        <w:tc>
          <w:tcPr>
            <w:tcW w:w="2409" w:type="dxa"/>
          </w:tcPr>
          <w:p w:rsidR="001C1F96" w:rsidRDefault="001C1F96">
            <w:pPr>
              <w:pStyle w:val="Guidance"/>
              <w:spacing w:after="0"/>
              <w:rPr>
                <w:i w:val="0"/>
              </w:rPr>
            </w:pPr>
          </w:p>
        </w:tc>
        <w:tc>
          <w:tcPr>
            <w:tcW w:w="993" w:type="dxa"/>
          </w:tcPr>
          <w:p w:rsidR="001C1F96" w:rsidRDefault="001C1F96">
            <w:pPr>
              <w:pStyle w:val="Guidance"/>
              <w:spacing w:after="0"/>
              <w:rPr>
                <w:i w:val="0"/>
              </w:rPr>
            </w:pPr>
          </w:p>
        </w:tc>
        <w:tc>
          <w:tcPr>
            <w:tcW w:w="1074" w:type="dxa"/>
          </w:tcPr>
          <w:p w:rsidR="001C1F96" w:rsidRDefault="001C1F96">
            <w:pPr>
              <w:pStyle w:val="Guidance"/>
              <w:spacing w:after="0"/>
              <w:rPr>
                <w:i w:val="0"/>
              </w:rPr>
            </w:pPr>
          </w:p>
        </w:tc>
        <w:tc>
          <w:tcPr>
            <w:tcW w:w="2186" w:type="dxa"/>
          </w:tcPr>
          <w:p w:rsidR="001C1F96" w:rsidRDefault="001C1F96">
            <w:pPr>
              <w:pStyle w:val="Guidance"/>
              <w:spacing w:after="0"/>
              <w:rPr>
                <w:i w:val="0"/>
              </w:rPr>
            </w:pPr>
          </w:p>
        </w:tc>
      </w:tr>
    </w:tbl>
    <w:p w:rsidR="001C1F96" w:rsidRDefault="001C1F96">
      <w:pPr>
        <w:pStyle w:val="FP"/>
      </w:pPr>
    </w:p>
    <w:p w:rsidR="001C1F96" w:rsidRDefault="001C1F96"/>
    <w:tbl>
      <w:tblPr>
        <w:tblW w:w="0" w:type="auto"/>
        <w:jc w:val="center"/>
        <w:tblLayout w:type="fixed"/>
        <w:tblLook w:val="04A0" w:firstRow="1" w:lastRow="0" w:firstColumn="1" w:lastColumn="0" w:noHBand="0" w:noVBand="1"/>
      </w:tblPr>
      <w:tblGrid>
        <w:gridCol w:w="1445"/>
        <w:gridCol w:w="4344"/>
        <w:gridCol w:w="1417"/>
        <w:gridCol w:w="2101"/>
      </w:tblGrid>
      <w:tr w:rsidR="001C1F9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1C1F96" w:rsidRDefault="003A66E5">
            <w:pPr>
              <w:pStyle w:val="TAH"/>
            </w:pPr>
            <w:r>
              <w:t>Impacted existing TS/TR {One line per specification. Create/delete lines as needed}</w:t>
            </w:r>
          </w:p>
        </w:tc>
      </w:tr>
      <w:tr w:rsidR="001C1F9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1C1F96" w:rsidRDefault="003A66E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1C1F96" w:rsidRDefault="003A66E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1C1F96" w:rsidRDefault="003A66E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1C1F96" w:rsidRDefault="003A66E5">
            <w:pPr>
              <w:pStyle w:val="TAH"/>
            </w:pPr>
            <w:r>
              <w:t>Remarks</w:t>
            </w:r>
          </w:p>
        </w:tc>
      </w:tr>
      <w:tr w:rsidR="002C3604">
        <w:trPr>
          <w:cantSplit/>
          <w:jc w:val="center"/>
        </w:trPr>
        <w:tc>
          <w:tcPr>
            <w:tcW w:w="1445" w:type="dxa"/>
            <w:tcBorders>
              <w:top w:val="single" w:sz="4" w:space="0" w:color="auto"/>
              <w:left w:val="single" w:sz="4" w:space="0" w:color="auto"/>
              <w:bottom w:val="single" w:sz="4" w:space="0" w:color="auto"/>
              <w:right w:val="single" w:sz="4" w:space="0" w:color="auto"/>
            </w:tcBorders>
          </w:tcPr>
          <w:p w:rsidR="002C3604" w:rsidRPr="00E1136E" w:rsidRDefault="002C3604" w:rsidP="002C3604">
            <w:pPr>
              <w:pStyle w:val="Guidance"/>
              <w:rPr>
                <w:i w:val="0"/>
              </w:rPr>
            </w:pPr>
            <w:r w:rsidRPr="00E1136E">
              <w:rPr>
                <w:i w:val="0"/>
              </w:rPr>
              <w:t>32.255</w:t>
            </w:r>
          </w:p>
        </w:tc>
        <w:tc>
          <w:tcPr>
            <w:tcW w:w="4344" w:type="dxa"/>
            <w:tcBorders>
              <w:top w:val="single" w:sz="4" w:space="0" w:color="auto"/>
              <w:left w:val="single" w:sz="4" w:space="0" w:color="auto"/>
              <w:bottom w:val="single" w:sz="4" w:space="0" w:color="auto"/>
              <w:right w:val="single" w:sz="4" w:space="0" w:color="auto"/>
            </w:tcBorders>
          </w:tcPr>
          <w:p w:rsidR="002C3604" w:rsidRPr="00E1136E" w:rsidRDefault="0074479E" w:rsidP="002C3604">
            <w:pPr>
              <w:pStyle w:val="Guidance"/>
              <w:rPr>
                <w:i w:val="0"/>
              </w:rPr>
            </w:pPr>
            <w:r>
              <w:rPr>
                <w:i w:val="0"/>
              </w:rPr>
              <w:t>C</w:t>
            </w:r>
            <w:r w:rsidR="002C3604">
              <w:rPr>
                <w:i w:val="0"/>
              </w:rPr>
              <w:t>harging enhancement for SMF including</w:t>
            </w:r>
            <w:r w:rsidR="002C3604" w:rsidRPr="00E1136E">
              <w:rPr>
                <w:i w:val="0"/>
              </w:rPr>
              <w:t xml:space="preserve"> clarifications related to</w:t>
            </w:r>
            <w:r>
              <w:rPr>
                <w:i w:val="0"/>
              </w:rPr>
              <w:t xml:space="preserve"> support</w:t>
            </w:r>
            <w:r w:rsidR="002C3604" w:rsidRPr="00E1136E">
              <w:rPr>
                <w:i w:val="0"/>
              </w:rPr>
              <w:t xml:space="preserve"> differentiated charging for UE behind the RG.</w:t>
            </w:r>
          </w:p>
        </w:tc>
        <w:tc>
          <w:tcPr>
            <w:tcW w:w="1417" w:type="dxa"/>
            <w:tcBorders>
              <w:top w:val="single" w:sz="4" w:space="0" w:color="auto"/>
              <w:left w:val="single" w:sz="4" w:space="0" w:color="auto"/>
              <w:bottom w:val="single" w:sz="4" w:space="0" w:color="auto"/>
              <w:right w:val="single" w:sz="4" w:space="0" w:color="auto"/>
            </w:tcBorders>
          </w:tcPr>
          <w:p w:rsidR="002C3604" w:rsidRPr="00E1136E" w:rsidRDefault="002C3604" w:rsidP="0031218B">
            <w:pPr>
              <w:pStyle w:val="Guidance"/>
              <w:rPr>
                <w:i w:val="0"/>
              </w:rPr>
            </w:pPr>
            <w:r w:rsidRPr="005213BB">
              <w:rPr>
                <w:i w:val="0"/>
              </w:rPr>
              <w:t>TSG#10</w:t>
            </w:r>
            <w:r w:rsidR="0031218B">
              <w:rPr>
                <w:i w:val="0"/>
              </w:rPr>
              <w:t>2</w:t>
            </w:r>
            <w:r w:rsidRPr="00E1136E">
              <w:rPr>
                <w:i w:val="0"/>
              </w:rPr>
              <w:t xml:space="preserve"> (</w:t>
            </w:r>
            <w:r>
              <w:rPr>
                <w:i w:val="0"/>
              </w:rPr>
              <w:t>Dec.</w:t>
            </w:r>
            <w:r w:rsidRPr="00E1136E">
              <w:rPr>
                <w:i w:val="0"/>
              </w:rPr>
              <w:t xml:space="preserve"> 202</w:t>
            </w:r>
            <w:r>
              <w:rPr>
                <w:i w:val="0"/>
              </w:rPr>
              <w:t>3</w:t>
            </w:r>
            <w:r w:rsidRPr="00E1136E">
              <w:rPr>
                <w:i w:val="0"/>
              </w:rPr>
              <w:t>)</w:t>
            </w:r>
          </w:p>
        </w:tc>
        <w:tc>
          <w:tcPr>
            <w:tcW w:w="2101" w:type="dxa"/>
            <w:tcBorders>
              <w:top w:val="single" w:sz="4" w:space="0" w:color="auto"/>
              <w:left w:val="single" w:sz="4" w:space="0" w:color="auto"/>
              <w:bottom w:val="single" w:sz="4" w:space="0" w:color="auto"/>
              <w:right w:val="single" w:sz="4" w:space="0" w:color="auto"/>
            </w:tcBorders>
          </w:tcPr>
          <w:p w:rsidR="002C3604" w:rsidRPr="00E1136E" w:rsidRDefault="002C3604" w:rsidP="002C3604">
            <w:pPr>
              <w:pStyle w:val="Guidance"/>
              <w:rPr>
                <w:i w:val="0"/>
              </w:rPr>
            </w:pPr>
          </w:p>
        </w:tc>
      </w:tr>
      <w:tr w:rsidR="002C3604">
        <w:trPr>
          <w:cantSplit/>
          <w:jc w:val="center"/>
        </w:trPr>
        <w:tc>
          <w:tcPr>
            <w:tcW w:w="1445" w:type="dxa"/>
            <w:tcBorders>
              <w:top w:val="single" w:sz="4" w:space="0" w:color="auto"/>
              <w:left w:val="single" w:sz="4" w:space="0" w:color="auto"/>
              <w:bottom w:val="single" w:sz="4" w:space="0" w:color="auto"/>
              <w:right w:val="single" w:sz="4" w:space="0" w:color="auto"/>
            </w:tcBorders>
          </w:tcPr>
          <w:p w:rsidR="002C3604" w:rsidRPr="00E1136E" w:rsidRDefault="002C3604" w:rsidP="002C3604">
            <w:pPr>
              <w:pStyle w:val="Guidance"/>
              <w:rPr>
                <w:i w:val="0"/>
              </w:rPr>
            </w:pPr>
            <w:r w:rsidRPr="00E1136E">
              <w:rPr>
                <w:i w:val="0"/>
              </w:rPr>
              <w:t>32.291</w:t>
            </w:r>
          </w:p>
        </w:tc>
        <w:tc>
          <w:tcPr>
            <w:tcW w:w="4344" w:type="dxa"/>
            <w:tcBorders>
              <w:top w:val="single" w:sz="4" w:space="0" w:color="auto"/>
              <w:left w:val="single" w:sz="4" w:space="0" w:color="auto"/>
              <w:bottom w:val="single" w:sz="4" w:space="0" w:color="auto"/>
              <w:right w:val="single" w:sz="4" w:space="0" w:color="auto"/>
            </w:tcBorders>
          </w:tcPr>
          <w:p w:rsidR="002C3604" w:rsidRPr="00E1136E" w:rsidRDefault="0074479E" w:rsidP="002C3604">
            <w:pPr>
              <w:pStyle w:val="Guidance"/>
              <w:rPr>
                <w:i w:val="0"/>
              </w:rPr>
            </w:pPr>
            <w:r>
              <w:rPr>
                <w:i w:val="0"/>
              </w:rPr>
              <w:t>C</w:t>
            </w:r>
            <w:r w:rsidR="002C3604" w:rsidRPr="00E1136E">
              <w:rPr>
                <w:rFonts w:hint="eastAsia"/>
                <w:i w:val="0"/>
              </w:rPr>
              <w:t>hanges to charging service API</w:t>
            </w:r>
            <w:r w:rsidR="002C3604" w:rsidRPr="00E1136E">
              <w:rPr>
                <w:i w:val="0"/>
              </w:rPr>
              <w:t>(s)</w:t>
            </w:r>
            <w:r w:rsidR="002C3604" w:rsidRPr="00E1136E">
              <w:rPr>
                <w:rFonts w:hint="eastAsia"/>
                <w:i w:val="0"/>
              </w:rPr>
              <w:t xml:space="preserve"> definitions</w:t>
            </w:r>
            <w:r>
              <w:rPr>
                <w:i w:val="0"/>
              </w:rPr>
              <w:t xml:space="preserve"> to support differentiated charging for UE behind the RG.</w:t>
            </w:r>
          </w:p>
        </w:tc>
        <w:tc>
          <w:tcPr>
            <w:tcW w:w="1417" w:type="dxa"/>
            <w:tcBorders>
              <w:top w:val="single" w:sz="4" w:space="0" w:color="auto"/>
              <w:left w:val="single" w:sz="4" w:space="0" w:color="auto"/>
              <w:bottom w:val="single" w:sz="4" w:space="0" w:color="auto"/>
              <w:right w:val="single" w:sz="4" w:space="0" w:color="auto"/>
            </w:tcBorders>
          </w:tcPr>
          <w:p w:rsidR="002C3604" w:rsidRPr="00BF44D3" w:rsidRDefault="002C3604" w:rsidP="0074479E">
            <w:pPr>
              <w:pStyle w:val="Guidance"/>
              <w:rPr>
                <w:i w:val="0"/>
              </w:rPr>
            </w:pPr>
            <w:r w:rsidRPr="005213BB">
              <w:rPr>
                <w:i w:val="0"/>
              </w:rPr>
              <w:t>TSG#10</w:t>
            </w:r>
            <w:r w:rsidR="0074479E">
              <w:rPr>
                <w:i w:val="0"/>
              </w:rPr>
              <w:t>3</w:t>
            </w:r>
            <w:r w:rsidRPr="00E1136E">
              <w:rPr>
                <w:i w:val="0"/>
              </w:rPr>
              <w:t xml:space="preserve"> (</w:t>
            </w:r>
            <w:r w:rsidR="0074479E">
              <w:rPr>
                <w:i w:val="0"/>
              </w:rPr>
              <w:t>Mar</w:t>
            </w:r>
            <w:r>
              <w:rPr>
                <w:i w:val="0"/>
              </w:rPr>
              <w:t>.</w:t>
            </w:r>
            <w:r w:rsidRPr="00E1136E">
              <w:rPr>
                <w:i w:val="0"/>
              </w:rPr>
              <w:t xml:space="preserve"> 202</w:t>
            </w:r>
            <w:r w:rsidR="0074479E">
              <w:rPr>
                <w:i w:val="0"/>
              </w:rPr>
              <w:t>4</w:t>
            </w:r>
            <w:r w:rsidRPr="00E1136E">
              <w:rPr>
                <w:i w:val="0"/>
              </w:rPr>
              <w:t>)</w:t>
            </w:r>
          </w:p>
        </w:tc>
        <w:tc>
          <w:tcPr>
            <w:tcW w:w="2101" w:type="dxa"/>
            <w:tcBorders>
              <w:top w:val="single" w:sz="4" w:space="0" w:color="auto"/>
              <w:left w:val="single" w:sz="4" w:space="0" w:color="auto"/>
              <w:bottom w:val="single" w:sz="4" w:space="0" w:color="auto"/>
              <w:right w:val="single" w:sz="4" w:space="0" w:color="auto"/>
            </w:tcBorders>
          </w:tcPr>
          <w:p w:rsidR="002C3604" w:rsidRPr="00E1136E" w:rsidRDefault="002C3604" w:rsidP="002C3604">
            <w:pPr>
              <w:pStyle w:val="Guidance"/>
              <w:rPr>
                <w:i w:val="0"/>
              </w:rPr>
            </w:pPr>
          </w:p>
        </w:tc>
      </w:tr>
      <w:tr w:rsidR="002C3604">
        <w:trPr>
          <w:cantSplit/>
          <w:jc w:val="center"/>
        </w:trPr>
        <w:tc>
          <w:tcPr>
            <w:tcW w:w="1445" w:type="dxa"/>
            <w:tcBorders>
              <w:top w:val="single" w:sz="4" w:space="0" w:color="auto"/>
              <w:left w:val="single" w:sz="4" w:space="0" w:color="auto"/>
              <w:bottom w:val="single" w:sz="4" w:space="0" w:color="auto"/>
              <w:right w:val="single" w:sz="4" w:space="0" w:color="auto"/>
            </w:tcBorders>
          </w:tcPr>
          <w:p w:rsidR="002C3604" w:rsidRPr="00E1136E" w:rsidRDefault="002C3604" w:rsidP="002C3604">
            <w:pPr>
              <w:pStyle w:val="Guidance"/>
              <w:rPr>
                <w:i w:val="0"/>
              </w:rPr>
            </w:pPr>
            <w:r w:rsidRPr="00E1136E">
              <w:rPr>
                <w:i w:val="0"/>
              </w:rPr>
              <w:t>32.298</w:t>
            </w:r>
          </w:p>
        </w:tc>
        <w:tc>
          <w:tcPr>
            <w:tcW w:w="4344" w:type="dxa"/>
            <w:tcBorders>
              <w:top w:val="single" w:sz="4" w:space="0" w:color="auto"/>
              <w:left w:val="single" w:sz="4" w:space="0" w:color="auto"/>
              <w:bottom w:val="single" w:sz="4" w:space="0" w:color="auto"/>
              <w:right w:val="single" w:sz="4" w:space="0" w:color="auto"/>
            </w:tcBorders>
          </w:tcPr>
          <w:p w:rsidR="002C3604" w:rsidRPr="00E1136E" w:rsidRDefault="0074479E" w:rsidP="002C3604">
            <w:pPr>
              <w:pStyle w:val="Guidance"/>
              <w:rPr>
                <w:i w:val="0"/>
              </w:rPr>
            </w:pPr>
            <w:r>
              <w:rPr>
                <w:i w:val="0"/>
              </w:rPr>
              <w:t>C</w:t>
            </w:r>
            <w:r w:rsidR="002C3604" w:rsidRPr="00E1136E">
              <w:rPr>
                <w:rFonts w:hint="eastAsia"/>
                <w:i w:val="0"/>
              </w:rPr>
              <w:t>hanges to</w:t>
            </w:r>
            <w:r w:rsidR="002C3604" w:rsidRPr="00E1136E">
              <w:rPr>
                <w:i w:val="0"/>
              </w:rPr>
              <w:t xml:space="preserve"> CHF CDR</w:t>
            </w:r>
            <w:r>
              <w:rPr>
                <w:i w:val="0"/>
              </w:rPr>
              <w:t xml:space="preserve"> to support differentiated charging for UE behind the RG.</w:t>
            </w:r>
          </w:p>
        </w:tc>
        <w:tc>
          <w:tcPr>
            <w:tcW w:w="1417" w:type="dxa"/>
            <w:tcBorders>
              <w:top w:val="single" w:sz="4" w:space="0" w:color="auto"/>
              <w:left w:val="single" w:sz="4" w:space="0" w:color="auto"/>
              <w:bottom w:val="single" w:sz="4" w:space="0" w:color="auto"/>
              <w:right w:val="single" w:sz="4" w:space="0" w:color="auto"/>
            </w:tcBorders>
          </w:tcPr>
          <w:p w:rsidR="002C3604" w:rsidRPr="00BF44D3" w:rsidRDefault="0074479E" w:rsidP="0031218B">
            <w:pPr>
              <w:pStyle w:val="Guidance"/>
              <w:rPr>
                <w:i w:val="0"/>
              </w:rPr>
            </w:pPr>
            <w:r w:rsidRPr="005213BB">
              <w:rPr>
                <w:i w:val="0"/>
              </w:rPr>
              <w:t>TSG#10</w:t>
            </w:r>
            <w:r>
              <w:rPr>
                <w:i w:val="0"/>
              </w:rPr>
              <w:t>3</w:t>
            </w:r>
            <w:r w:rsidRPr="00E1136E">
              <w:rPr>
                <w:i w:val="0"/>
              </w:rPr>
              <w:t xml:space="preserve"> (</w:t>
            </w:r>
            <w:r>
              <w:rPr>
                <w:i w:val="0"/>
              </w:rPr>
              <w:t>Mar.</w:t>
            </w:r>
            <w:r w:rsidRPr="00E1136E">
              <w:rPr>
                <w:i w:val="0"/>
              </w:rPr>
              <w:t xml:space="preserve"> 202</w:t>
            </w:r>
            <w:r>
              <w:rPr>
                <w:i w:val="0"/>
              </w:rPr>
              <w:t>4</w:t>
            </w:r>
            <w:r w:rsidRPr="00E1136E">
              <w:rPr>
                <w:i w:val="0"/>
              </w:rPr>
              <w:t>)</w:t>
            </w:r>
          </w:p>
        </w:tc>
        <w:tc>
          <w:tcPr>
            <w:tcW w:w="2101" w:type="dxa"/>
            <w:tcBorders>
              <w:top w:val="single" w:sz="4" w:space="0" w:color="auto"/>
              <w:left w:val="single" w:sz="4" w:space="0" w:color="auto"/>
              <w:bottom w:val="single" w:sz="4" w:space="0" w:color="auto"/>
              <w:right w:val="single" w:sz="4" w:space="0" w:color="auto"/>
            </w:tcBorders>
          </w:tcPr>
          <w:p w:rsidR="002C3604" w:rsidRPr="00E1136E" w:rsidRDefault="002C3604" w:rsidP="002C3604">
            <w:pPr>
              <w:pStyle w:val="Guidance"/>
              <w:rPr>
                <w:i w:val="0"/>
              </w:rPr>
            </w:pPr>
          </w:p>
        </w:tc>
      </w:tr>
    </w:tbl>
    <w:p w:rsidR="001C1F96" w:rsidRDefault="003A66E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rsidR="001C1F96" w:rsidRDefault="0031218B">
      <w:pPr>
        <w:pStyle w:val="Guidance"/>
        <w:rPr>
          <w:i w:val="0"/>
          <w:lang w:eastAsia="zh-CN"/>
        </w:rPr>
      </w:pPr>
      <w:r>
        <w:rPr>
          <w:i w:val="0"/>
          <w:lang w:eastAsia="zh-CN"/>
        </w:rPr>
        <w:t xml:space="preserve">Sun Mingrui, China Unicom, </w:t>
      </w:r>
      <w:r w:rsidR="003A66E5">
        <w:rPr>
          <w:rFonts w:hint="eastAsia"/>
          <w:i w:val="0"/>
          <w:lang w:eastAsia="zh-CN"/>
        </w:rPr>
        <w:t>sunmr19@chinaunicom.cn</w:t>
      </w:r>
    </w:p>
    <w:p w:rsidR="001C1F96" w:rsidRDefault="001C1F96"/>
    <w:p w:rsidR="001C1F96" w:rsidRDefault="003A66E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rsidR="001C1F96" w:rsidRDefault="003A66E5">
      <w:pPr>
        <w:pStyle w:val="Guidance"/>
        <w:rPr>
          <w:i w:val="0"/>
        </w:rPr>
      </w:pPr>
      <w:r>
        <w:rPr>
          <w:i w:val="0"/>
        </w:rPr>
        <w:t>SA5</w:t>
      </w:r>
    </w:p>
    <w:p w:rsidR="001C1F96" w:rsidRDefault="001C1F96"/>
    <w:p w:rsidR="001C1F96" w:rsidRDefault="003A66E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rsidR="001C1F96" w:rsidRDefault="003A66E5">
      <w:pPr>
        <w:pStyle w:val="Guidance"/>
        <w:rPr>
          <w:i w:val="0"/>
          <w:lang w:eastAsia="zh-CN"/>
        </w:rPr>
      </w:pPr>
      <w:r>
        <w:rPr>
          <w:rFonts w:hint="eastAsia"/>
          <w:i w:val="0"/>
          <w:lang w:eastAsia="zh-CN"/>
        </w:rPr>
        <w:t>S</w:t>
      </w:r>
      <w:r>
        <w:rPr>
          <w:i w:val="0"/>
          <w:lang w:eastAsia="zh-CN"/>
        </w:rPr>
        <w:t>A2</w:t>
      </w:r>
    </w:p>
    <w:p w:rsidR="001C1F96" w:rsidRDefault="001C1F96"/>
    <w:p w:rsidR="001C1F96" w:rsidRDefault="003A66E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rsidR="001C1F96" w:rsidRDefault="001C1F96">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1C1F96">
        <w:trPr>
          <w:cantSplit/>
          <w:jc w:val="center"/>
        </w:trPr>
        <w:tc>
          <w:tcPr>
            <w:tcW w:w="5029" w:type="dxa"/>
            <w:shd w:val="clear" w:color="auto" w:fill="E0E0E0"/>
          </w:tcPr>
          <w:p w:rsidR="001C1F96" w:rsidRDefault="003A66E5">
            <w:pPr>
              <w:pStyle w:val="TAH"/>
            </w:pPr>
            <w:r>
              <w:t>Supporting IM name</w:t>
            </w:r>
          </w:p>
        </w:tc>
      </w:tr>
      <w:tr w:rsidR="001C1F96">
        <w:trPr>
          <w:cantSplit/>
          <w:jc w:val="center"/>
        </w:trPr>
        <w:tc>
          <w:tcPr>
            <w:tcW w:w="5029" w:type="dxa"/>
            <w:shd w:val="clear" w:color="auto" w:fill="auto"/>
          </w:tcPr>
          <w:p w:rsidR="001C1F96" w:rsidRDefault="003A66E5">
            <w:pPr>
              <w:tabs>
                <w:tab w:val="left" w:pos="2127"/>
              </w:tabs>
              <w:ind w:left="2127" w:hanging="2127"/>
              <w:jc w:val="center"/>
              <w:outlineLvl w:val="0"/>
            </w:pPr>
            <w:r>
              <w:rPr>
                <w:color w:val="000000"/>
                <w:lang w:val="en-US" w:eastAsia="zh-CN"/>
              </w:rPr>
              <w:t>China Unicom</w:t>
            </w:r>
          </w:p>
        </w:tc>
      </w:tr>
      <w:tr w:rsidR="001C1F96">
        <w:trPr>
          <w:cantSplit/>
          <w:jc w:val="center"/>
        </w:trPr>
        <w:tc>
          <w:tcPr>
            <w:tcW w:w="5029" w:type="dxa"/>
            <w:shd w:val="clear" w:color="auto" w:fill="auto"/>
          </w:tcPr>
          <w:p w:rsidR="001C1F96" w:rsidRDefault="003A66E5">
            <w:pPr>
              <w:pStyle w:val="TAL"/>
              <w:jc w:val="center"/>
            </w:pPr>
            <w:r>
              <w:rPr>
                <w:rFonts w:ascii="Times New Roman" w:hAnsi="Times New Roman"/>
                <w:sz w:val="20"/>
                <w:lang w:val="en-US" w:eastAsia="zh-CN"/>
              </w:rPr>
              <w:t>Huawei</w:t>
            </w:r>
          </w:p>
        </w:tc>
      </w:tr>
      <w:tr w:rsidR="001C1F96">
        <w:trPr>
          <w:cantSplit/>
          <w:jc w:val="center"/>
        </w:trPr>
        <w:tc>
          <w:tcPr>
            <w:tcW w:w="5029" w:type="dxa"/>
            <w:shd w:val="clear" w:color="auto" w:fill="auto"/>
          </w:tcPr>
          <w:p w:rsidR="001C1F96" w:rsidRPr="0031218B" w:rsidRDefault="003A66E5">
            <w:pPr>
              <w:pStyle w:val="TAL"/>
              <w:jc w:val="center"/>
              <w:rPr>
                <w:rFonts w:ascii="Times New Roman" w:hAnsi="Times New Roman"/>
                <w:sz w:val="20"/>
                <w:lang w:val="en-US" w:eastAsia="zh-CN"/>
              </w:rPr>
            </w:pPr>
            <w:r w:rsidRPr="0031218B">
              <w:rPr>
                <w:rFonts w:ascii="Times New Roman" w:hAnsi="Times New Roman" w:hint="eastAsia"/>
                <w:sz w:val="20"/>
                <w:lang w:val="en-US" w:eastAsia="zh-CN"/>
              </w:rPr>
              <w:t>CATT</w:t>
            </w:r>
          </w:p>
        </w:tc>
      </w:tr>
      <w:tr w:rsidR="001C1F96">
        <w:trPr>
          <w:cantSplit/>
          <w:jc w:val="center"/>
        </w:trPr>
        <w:tc>
          <w:tcPr>
            <w:tcW w:w="5029" w:type="dxa"/>
            <w:shd w:val="clear" w:color="auto" w:fill="auto"/>
          </w:tcPr>
          <w:p w:rsidR="001C1F96" w:rsidRPr="0031218B" w:rsidRDefault="003A66E5">
            <w:pPr>
              <w:pStyle w:val="TAL"/>
              <w:jc w:val="center"/>
              <w:rPr>
                <w:rFonts w:ascii="Times New Roman" w:hAnsi="Times New Roman"/>
                <w:sz w:val="20"/>
                <w:lang w:val="en-US" w:eastAsia="zh-CN"/>
              </w:rPr>
            </w:pPr>
            <w:r w:rsidRPr="0031218B">
              <w:rPr>
                <w:rFonts w:ascii="Times New Roman" w:hAnsi="Times New Roman" w:hint="eastAsia"/>
                <w:sz w:val="20"/>
                <w:lang w:val="en-US" w:eastAsia="zh-CN"/>
              </w:rPr>
              <w:t>HiSilicon</w:t>
            </w:r>
          </w:p>
        </w:tc>
      </w:tr>
      <w:tr w:rsidR="001C1F96">
        <w:trPr>
          <w:cantSplit/>
          <w:jc w:val="center"/>
        </w:trPr>
        <w:tc>
          <w:tcPr>
            <w:tcW w:w="5029" w:type="dxa"/>
            <w:shd w:val="clear" w:color="auto" w:fill="auto"/>
          </w:tcPr>
          <w:p w:rsidR="001C1F96" w:rsidRDefault="001C1F96">
            <w:pPr>
              <w:pStyle w:val="TAL"/>
            </w:pPr>
          </w:p>
        </w:tc>
      </w:tr>
      <w:tr w:rsidR="001C1F96">
        <w:trPr>
          <w:cantSplit/>
          <w:jc w:val="center"/>
        </w:trPr>
        <w:tc>
          <w:tcPr>
            <w:tcW w:w="5029" w:type="dxa"/>
            <w:shd w:val="clear" w:color="auto" w:fill="auto"/>
          </w:tcPr>
          <w:p w:rsidR="001C1F96" w:rsidRDefault="001C1F96">
            <w:pPr>
              <w:pStyle w:val="TAL"/>
            </w:pPr>
          </w:p>
        </w:tc>
      </w:tr>
    </w:tbl>
    <w:p w:rsidR="001C1F96" w:rsidRDefault="001C1F96"/>
    <w:p w:rsidR="001C1F96" w:rsidRDefault="001C1F96"/>
    <w:sectPr w:rsidR="001C1F9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4E0A" w:rsidRDefault="008D4E0A"/>
  </w:endnote>
  <w:endnote w:type="continuationSeparator" w:id="0">
    <w:p w:rsidR="008D4E0A" w:rsidRDefault="008D4E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4E0A" w:rsidRDefault="008D4E0A"/>
  </w:footnote>
  <w:footnote w:type="continuationSeparator" w:id="0">
    <w:p w:rsidR="008D4E0A" w:rsidRDefault="008D4E0A"/>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C768B"/>
    <w:multiLevelType w:val="multilevel"/>
    <w:tmpl w:val="05DC768B"/>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C6023D4"/>
    <w:multiLevelType w:val="hybridMultilevel"/>
    <w:tmpl w:val="42C2653E"/>
    <w:lvl w:ilvl="0" w:tplc="A372F8CC">
      <w:start w:val="3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2D2F"/>
    <w:rsid w:val="00135831"/>
    <w:rsid w:val="001376A6"/>
    <w:rsid w:val="001424CD"/>
    <w:rsid w:val="0014389B"/>
    <w:rsid w:val="0014413C"/>
    <w:rsid w:val="00150C36"/>
    <w:rsid w:val="00152910"/>
    <w:rsid w:val="00157C7C"/>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1F96"/>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473E4"/>
    <w:rsid w:val="00250F58"/>
    <w:rsid w:val="00253892"/>
    <w:rsid w:val="002541D3"/>
    <w:rsid w:val="00256429"/>
    <w:rsid w:val="0026253E"/>
    <w:rsid w:val="00263565"/>
    <w:rsid w:val="00272D61"/>
    <w:rsid w:val="002919B7"/>
    <w:rsid w:val="00291EF2"/>
    <w:rsid w:val="00295D61"/>
    <w:rsid w:val="00297C1F"/>
    <w:rsid w:val="002A5D1E"/>
    <w:rsid w:val="002B074C"/>
    <w:rsid w:val="002B2FE7"/>
    <w:rsid w:val="002B34EA"/>
    <w:rsid w:val="002B5361"/>
    <w:rsid w:val="002C1BA4"/>
    <w:rsid w:val="002C3604"/>
    <w:rsid w:val="002C47B8"/>
    <w:rsid w:val="002E397B"/>
    <w:rsid w:val="002E3AE2"/>
    <w:rsid w:val="002F7CCB"/>
    <w:rsid w:val="00301992"/>
    <w:rsid w:val="003057FD"/>
    <w:rsid w:val="003101C6"/>
    <w:rsid w:val="00310E70"/>
    <w:rsid w:val="0031218B"/>
    <w:rsid w:val="00313F3E"/>
    <w:rsid w:val="00313F4D"/>
    <w:rsid w:val="00320536"/>
    <w:rsid w:val="00325E33"/>
    <w:rsid w:val="003275E6"/>
    <w:rsid w:val="00354553"/>
    <w:rsid w:val="00354E32"/>
    <w:rsid w:val="00370803"/>
    <w:rsid w:val="003715B7"/>
    <w:rsid w:val="00376C60"/>
    <w:rsid w:val="00377729"/>
    <w:rsid w:val="00382F31"/>
    <w:rsid w:val="00392C87"/>
    <w:rsid w:val="003973A0"/>
    <w:rsid w:val="003A5FFA"/>
    <w:rsid w:val="003A66E5"/>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0268"/>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A6B03"/>
    <w:rsid w:val="004B1CF9"/>
    <w:rsid w:val="004C2007"/>
    <w:rsid w:val="004C4C9B"/>
    <w:rsid w:val="004D2FA0"/>
    <w:rsid w:val="004E1010"/>
    <w:rsid w:val="004F4172"/>
    <w:rsid w:val="0050202A"/>
    <w:rsid w:val="00507903"/>
    <w:rsid w:val="0052032E"/>
    <w:rsid w:val="005213BB"/>
    <w:rsid w:val="00521896"/>
    <w:rsid w:val="00522A80"/>
    <w:rsid w:val="00535A39"/>
    <w:rsid w:val="00544D8F"/>
    <w:rsid w:val="005479C4"/>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6999"/>
    <w:rsid w:val="005E07CB"/>
    <w:rsid w:val="005E0BF8"/>
    <w:rsid w:val="005E0DEF"/>
    <w:rsid w:val="005E32BB"/>
    <w:rsid w:val="005E7235"/>
    <w:rsid w:val="005F041C"/>
    <w:rsid w:val="005F2E94"/>
    <w:rsid w:val="005F4B34"/>
    <w:rsid w:val="00611978"/>
    <w:rsid w:val="00616E18"/>
    <w:rsid w:val="00620287"/>
    <w:rsid w:val="00623AED"/>
    <w:rsid w:val="0062580F"/>
    <w:rsid w:val="00632157"/>
    <w:rsid w:val="00633971"/>
    <w:rsid w:val="006341C6"/>
    <w:rsid w:val="0064121E"/>
    <w:rsid w:val="00642894"/>
    <w:rsid w:val="00651738"/>
    <w:rsid w:val="00660354"/>
    <w:rsid w:val="006606DB"/>
    <w:rsid w:val="00665B9B"/>
    <w:rsid w:val="0067616E"/>
    <w:rsid w:val="00690725"/>
    <w:rsid w:val="00693606"/>
    <w:rsid w:val="00693D70"/>
    <w:rsid w:val="006975AE"/>
    <w:rsid w:val="006A0E66"/>
    <w:rsid w:val="006A32D1"/>
    <w:rsid w:val="006A37A2"/>
    <w:rsid w:val="006A3CF5"/>
    <w:rsid w:val="006B4BC6"/>
    <w:rsid w:val="006D03E2"/>
    <w:rsid w:val="006D0A8E"/>
    <w:rsid w:val="006D3D53"/>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479E"/>
    <w:rsid w:val="0074596C"/>
    <w:rsid w:val="00750D12"/>
    <w:rsid w:val="00756BBB"/>
    <w:rsid w:val="00761952"/>
    <w:rsid w:val="00761B9B"/>
    <w:rsid w:val="00762474"/>
    <w:rsid w:val="0076439E"/>
    <w:rsid w:val="007814A8"/>
    <w:rsid w:val="00781A62"/>
    <w:rsid w:val="00781F2F"/>
    <w:rsid w:val="00783C0E"/>
    <w:rsid w:val="00784457"/>
    <w:rsid w:val="007861B8"/>
    <w:rsid w:val="00787383"/>
    <w:rsid w:val="00791B51"/>
    <w:rsid w:val="00795AD1"/>
    <w:rsid w:val="007B5456"/>
    <w:rsid w:val="007B5F65"/>
    <w:rsid w:val="007C767B"/>
    <w:rsid w:val="007D02FD"/>
    <w:rsid w:val="007D3C7C"/>
    <w:rsid w:val="007D687A"/>
    <w:rsid w:val="007D6D3B"/>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23CC"/>
    <w:rsid w:val="008A56FD"/>
    <w:rsid w:val="008B4280"/>
    <w:rsid w:val="008D3DA6"/>
    <w:rsid w:val="008D4E0A"/>
    <w:rsid w:val="008D5DA3"/>
    <w:rsid w:val="008E2506"/>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0FA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5EE8"/>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03FE"/>
    <w:rsid w:val="00B3526C"/>
    <w:rsid w:val="00B376E0"/>
    <w:rsid w:val="00B43DA4"/>
    <w:rsid w:val="00B45C31"/>
    <w:rsid w:val="00B47534"/>
    <w:rsid w:val="00B50B89"/>
    <w:rsid w:val="00B52AFB"/>
    <w:rsid w:val="00B5557E"/>
    <w:rsid w:val="00B57C46"/>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B4C98"/>
    <w:rsid w:val="00CC084E"/>
    <w:rsid w:val="00CC58ED"/>
    <w:rsid w:val="00CF5E65"/>
    <w:rsid w:val="00D001AF"/>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136E"/>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46E89"/>
    <w:rsid w:val="00F64378"/>
    <w:rsid w:val="00F67FC3"/>
    <w:rsid w:val="00F763A4"/>
    <w:rsid w:val="00F80D67"/>
    <w:rsid w:val="00F81CF2"/>
    <w:rsid w:val="00F82A04"/>
    <w:rsid w:val="00F83DF3"/>
    <w:rsid w:val="00F941B8"/>
    <w:rsid w:val="00F96BC6"/>
    <w:rsid w:val="00FA5FA5"/>
    <w:rsid w:val="00FA6721"/>
    <w:rsid w:val="00FA7365"/>
    <w:rsid w:val="00FA79A7"/>
    <w:rsid w:val="00FB0681"/>
    <w:rsid w:val="00FC643D"/>
    <w:rsid w:val="00FD1DAF"/>
    <w:rsid w:val="00FE3DCC"/>
    <w:rsid w:val="00FE53C8"/>
    <w:rsid w:val="00FE5FB7"/>
    <w:rsid w:val="0D5E57B3"/>
    <w:rsid w:val="13E86D26"/>
    <w:rsid w:val="2F6D7926"/>
    <w:rsid w:val="64335288"/>
    <w:rsid w:val="64EE5C32"/>
    <w:rsid w:val="799C1992"/>
    <w:rsid w:val="7B8F0C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C622FE"/>
  <w15:docId w15:val="{0A1299C0-EE99-44B4-A4A8-8FFEDE6E6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81">
    <w:name w:val="toc 8"/>
    <w:basedOn w:val="a"/>
    <w:next w:val="a"/>
    <w:qFormat/>
    <w:pPr>
      <w:spacing w:after="100"/>
      <w:ind w:left="1400"/>
    </w:pPr>
  </w:style>
  <w:style w:type="paragraph" w:styleId="a4">
    <w:name w:val="footer"/>
    <w:basedOn w:val="a"/>
    <w:qFormat/>
    <w:pPr>
      <w:tabs>
        <w:tab w:val="center" w:pos="4153"/>
        <w:tab w:val="right" w:pos="8306"/>
      </w:tabs>
    </w:pPr>
  </w:style>
  <w:style w:type="paragraph" w:styleId="a5">
    <w:name w:val="header"/>
    <w:basedOn w:val="a"/>
    <w:link w:val="a6"/>
    <w:qFormat/>
    <w:pPr>
      <w:tabs>
        <w:tab w:val="center" w:pos="4153"/>
        <w:tab w:val="right" w:pos="8306"/>
      </w:tabs>
    </w:pPr>
  </w:style>
  <w:style w:type="paragraph" w:styleId="9">
    <w:name w:val="toc 9"/>
    <w:basedOn w:val="81"/>
    <w:next w:val="a"/>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next w:val="a"/>
    <w:semiHidden/>
    <w:qFormat/>
    <w:pPr>
      <w:keepLines/>
    </w:pPr>
  </w:style>
  <w:style w:type="character" w:styleId="a7">
    <w:name w:val="page number"/>
    <w:basedOn w:val="a0"/>
    <w:qFormat/>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8">
    <w:name w:val="??"/>
    <w:qFormat/>
    <w:pPr>
      <w:widowControl w:val="0"/>
    </w:pPr>
    <w:rPr>
      <w:lang w:eastAsia="en-US"/>
    </w:rPr>
  </w:style>
  <w:style w:type="paragraph" w:customStyle="1" w:styleId="20">
    <w:name w:val="??? 2"/>
    <w:basedOn w:val="a8"/>
    <w:next w:val="a8"/>
    <w:qFormat/>
    <w:pPr>
      <w:keepNext/>
    </w:pPr>
    <w:rPr>
      <w:rFonts w:ascii="Arial" w:hAnsi="Arial"/>
      <w:b/>
      <w:sz w:val="24"/>
    </w:rPr>
  </w:style>
  <w:style w:type="paragraph" w:customStyle="1" w:styleId="CRCoverPage">
    <w:name w:val="CR Cover Page"/>
    <w:qFormat/>
    <w:pPr>
      <w:spacing w:after="120"/>
    </w:pPr>
    <w:rPr>
      <w:rFonts w:ascii="Arial" w:hAnsi="Arial"/>
      <w:lang w:val="en-GB" w:eastAsia="en-US"/>
    </w:rPr>
  </w:style>
  <w:style w:type="paragraph" w:styleId="a9">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11">
    <w:name w:val="修订1"/>
    <w:hidden/>
    <w:uiPriority w:val="99"/>
    <w:semiHidden/>
    <w:qFormat/>
    <w:rPr>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a6">
    <w:name w:val="页眉 字符"/>
    <w:link w:val="a5"/>
    <w:qFormat/>
    <w:rPr>
      <w:lang w:eastAsia="en-US"/>
    </w:rPr>
  </w:style>
  <w:style w:type="character" w:customStyle="1" w:styleId="B1Char">
    <w:name w:val="B1 Char"/>
    <w:link w:val="B1"/>
    <w:qFormat/>
    <w:locked/>
    <w:rsid w:val="00CF5E6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00020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EFB14237-0EDD-47C1-A820-AC3D74AE1D54}">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3</Pages>
  <Words>782</Words>
  <Characters>4459</Characters>
  <Application>Microsoft Office Word</Application>
  <DocSecurity>0</DocSecurity>
  <Lines>37</Lines>
  <Paragraphs>10</Paragraphs>
  <ScaleCrop>false</ScaleCrop>
  <Company>ETSI Sophia Antipolis</Company>
  <LinksUpToDate>false</LinksUpToDate>
  <CharactersWithSpaces>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CU-Mingrui Sun</cp:lastModifiedBy>
  <cp:revision>13</cp:revision>
  <cp:lastPrinted>2001-04-23T09:30:00Z</cp:lastPrinted>
  <dcterms:created xsi:type="dcterms:W3CDTF">2023-08-11T10:31:00Z</dcterms:created>
  <dcterms:modified xsi:type="dcterms:W3CDTF">2023-08-24T19:55:00Z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(2)fzpukRFXxv1pU8IwajswegrRhIrsHGZmWLDgE27MnCn9+SoSkVB6WpY7GjMkQuLjob3MICdg
0j9fVk5QubWtemGeoxCYXHdpI1Fu8q8dn33298BeaajbzPQqy2EappX5OyaF6eye6AgzI5Tn
JBdaZdGIPpYOUwzFQw2owdq+nVWHU8Kx18S8aEYfQP/Ug0sWpfu3lHFNfW6qxnjvg4/WItmL
jc9ne6dzEx1YXSjLJt</vt:lpwstr>
  </property>
  <property fmtid="{D5CDD505-2E9C-101B-9397-08002B2CF9AE}" pid="3" name="_2015_ms_pID_7253431">
    <vt:lpwstr>Euxd6SyQtIbqfigUco+Ic3y7/Jh+530m+TSTjk14eoiyDZQDgkUeC6
YDi+AfIBPedsm63L4vipnogMwPGninXq/0RBeSSL6S+N7W3XC6TyboQJKnb8zh4OgINWzw1j
P+/i7IGDhXzaldk+ArlvFuz0+SWgWnK1Yeoa9PbuLq8/zE8sqKkvejQWV+MH2ESwuMoE2pmW
gexIGGdWE7p7Dfsi</vt:lpwstr>
  </property>
  <property fmtid="{D5CDD505-2E9C-101B-9397-08002B2CF9AE}" pid="4" name="KSOProductBuildVer">
    <vt:lpwstr>2052-11.8.2.12085</vt:lpwstr>
  </property>
  <property fmtid="{D5CDD505-2E9C-101B-9397-08002B2CF9AE}" pid="5" name="ICV">
    <vt:lpwstr>259FFFE1950B407AB140F69BAA9F7E07</vt:lpwstr>
  </property>
</Properties>
</file>